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197" w:rsidRPr="00304197" w:rsidRDefault="00304197" w:rsidP="00304197">
      <w:pPr>
        <w:spacing w:after="240" w:line="605" w:lineRule="atLeast"/>
        <w:jc w:val="center"/>
        <w:outlineLvl w:val="0"/>
        <w:rPr>
          <w:rFonts w:eastAsia="Times New Roman" w:cs="Times New Roman"/>
          <w:b/>
          <w:bCs/>
          <w:caps/>
          <w:color w:val="002D64"/>
          <w:spacing w:val="-5"/>
          <w:kern w:val="36"/>
          <w:sz w:val="32"/>
          <w:szCs w:val="24"/>
          <w:lang w:eastAsia="fr-FR"/>
        </w:rPr>
      </w:pPr>
      <w:r w:rsidRPr="0094048E">
        <w:rPr>
          <w:rFonts w:eastAsia="Times New Roman" w:cs="Times New Roman"/>
          <w:b/>
          <w:bCs/>
          <w:caps/>
          <w:color w:val="002D64"/>
          <w:spacing w:val="-5"/>
          <w:kern w:val="36"/>
          <w:sz w:val="32"/>
          <w:szCs w:val="24"/>
          <w:highlight w:val="yellow"/>
          <w:lang w:eastAsia="fr-FR"/>
        </w:rPr>
        <w:t>CSA - L</w:t>
      </w:r>
      <w:r w:rsidRPr="0094048E">
        <w:rPr>
          <w:rFonts w:eastAsia="Times New Roman" w:cs="Times New Roman"/>
          <w:b/>
          <w:bCs/>
          <w:color w:val="002D64"/>
          <w:spacing w:val="-5"/>
          <w:kern w:val="36"/>
          <w:sz w:val="32"/>
          <w:szCs w:val="24"/>
          <w:highlight w:val="yellow"/>
          <w:lang w:eastAsia="fr-FR"/>
        </w:rPr>
        <w:t>e comité de la sécurité alimentaire mondiale</w:t>
      </w:r>
    </w:p>
    <w:p w:rsidR="00304197" w:rsidRDefault="00304197" w:rsidP="00304197">
      <w:pPr>
        <w:spacing w:after="100" w:afterAutospacing="1" w:line="307" w:lineRule="atLeast"/>
        <w:rPr>
          <w:rFonts w:eastAsia="Times New Roman" w:cs="Arial"/>
          <w:b/>
          <w:bCs/>
          <w:color w:val="00053C"/>
          <w:spacing w:val="5"/>
          <w:szCs w:val="24"/>
          <w:lang w:eastAsia="fr-FR"/>
        </w:rPr>
      </w:pPr>
    </w:p>
    <w:p w:rsidR="00304197" w:rsidRDefault="00304197" w:rsidP="00304197">
      <w:pPr>
        <w:spacing w:after="100" w:afterAutospacing="1" w:line="307" w:lineRule="atLeast"/>
        <w:rPr>
          <w:rFonts w:eastAsia="Times New Roman" w:cs="Arial"/>
          <w:b/>
          <w:bCs/>
          <w:color w:val="00053C"/>
          <w:spacing w:val="5"/>
          <w:szCs w:val="24"/>
          <w:lang w:eastAsia="fr-FR"/>
        </w:rPr>
      </w:pPr>
      <w:r w:rsidRPr="00304197">
        <w:rPr>
          <w:rFonts w:eastAsia="Times New Roman" w:cs="Arial"/>
          <w:b/>
          <w:bCs/>
          <w:color w:val="00053C"/>
          <w:spacing w:val="5"/>
          <w:szCs w:val="24"/>
          <w:lang w:eastAsia="fr-FR"/>
        </w:rPr>
        <w:t xml:space="preserve">Le Comité de la Sécurité Alimentaire mondiale (CSA) est le comité intergouvernemental des Nations Unies chargé des questions de sécurité alimentaire et de nutrition. </w:t>
      </w:r>
    </w:p>
    <w:p w:rsidR="00304197" w:rsidRPr="00304197" w:rsidRDefault="00304197" w:rsidP="00304197">
      <w:pPr>
        <w:spacing w:after="100" w:afterAutospacing="1" w:line="307" w:lineRule="atLeast"/>
        <w:rPr>
          <w:rFonts w:eastAsia="Times New Roman" w:cs="Arial"/>
          <w:color w:val="00053C"/>
          <w:spacing w:val="5"/>
          <w:szCs w:val="24"/>
          <w:lang w:eastAsia="fr-FR"/>
        </w:rPr>
      </w:pPr>
      <w:r w:rsidRPr="00304197">
        <w:rPr>
          <w:rFonts w:eastAsia="Times New Roman" w:cs="Arial"/>
          <w:bCs/>
          <w:color w:val="00053C"/>
          <w:spacing w:val="5"/>
          <w:szCs w:val="24"/>
          <w:lang w:eastAsia="fr-FR"/>
        </w:rPr>
        <w:t>Face à la crise alimentaire liée à la guerre en Ukraine, c’est la plateforme la plus à même de coordonner les réponses internationales</w:t>
      </w:r>
      <w:r>
        <w:rPr>
          <w:rFonts w:eastAsia="Times New Roman" w:cs="Arial"/>
          <w:bCs/>
          <w:color w:val="00053C"/>
          <w:spacing w:val="5"/>
          <w:szCs w:val="24"/>
          <w:lang w:eastAsia="fr-FR"/>
        </w:rPr>
        <w:t>.</w:t>
      </w:r>
    </w:p>
    <w:p w:rsidR="00304197" w:rsidRPr="00304197" w:rsidRDefault="00304197" w:rsidP="00304197">
      <w:pPr>
        <w:spacing w:after="288" w:line="408" w:lineRule="atLeast"/>
        <w:outlineLvl w:val="1"/>
        <w:rPr>
          <w:rFonts w:eastAsia="Times New Roman" w:cs="Arial"/>
          <w:b/>
          <w:bCs/>
          <w:caps/>
          <w:spacing w:val="-5"/>
          <w:sz w:val="28"/>
          <w:szCs w:val="24"/>
          <w:lang w:eastAsia="fr-FR"/>
        </w:rPr>
      </w:pPr>
      <w:r w:rsidRPr="00304197">
        <w:rPr>
          <w:rFonts w:eastAsia="Times New Roman" w:cs="Arial"/>
          <w:b/>
          <w:bCs/>
          <w:spacing w:val="-5"/>
          <w:sz w:val="28"/>
          <w:szCs w:val="24"/>
          <w:lang w:eastAsia="fr-FR"/>
        </w:rPr>
        <w:t>Les populations affectées impliquées</w:t>
      </w:r>
    </w:p>
    <w:p w:rsidR="00304197" w:rsidRPr="00304197" w:rsidRDefault="00304197" w:rsidP="00304197">
      <w:pPr>
        <w:spacing w:after="100" w:afterAutospacing="1" w:line="307" w:lineRule="atLeast"/>
        <w:rPr>
          <w:rFonts w:eastAsia="Times New Roman" w:cs="Arial"/>
          <w:color w:val="00053C"/>
          <w:spacing w:val="5"/>
          <w:szCs w:val="24"/>
          <w:lang w:eastAsia="fr-FR"/>
        </w:rPr>
      </w:pPr>
      <w:r w:rsidRPr="00304197">
        <w:rPr>
          <w:rFonts w:eastAsia="Times New Roman" w:cs="Arial"/>
          <w:color w:val="00053C"/>
          <w:spacing w:val="5"/>
          <w:szCs w:val="24"/>
          <w:lang w:eastAsia="fr-FR"/>
        </w:rPr>
        <w:t>Le CSA est la principale plateforme internationale émettant des recommanda</w:t>
      </w:r>
      <w:r>
        <w:rPr>
          <w:rFonts w:eastAsia="Times New Roman" w:cs="Arial"/>
          <w:color w:val="00053C"/>
          <w:spacing w:val="5"/>
          <w:szCs w:val="24"/>
          <w:lang w:eastAsia="fr-FR"/>
        </w:rPr>
        <w:t>-       -</w:t>
      </w:r>
      <w:r w:rsidRPr="00304197">
        <w:rPr>
          <w:rFonts w:eastAsia="Times New Roman" w:cs="Arial"/>
          <w:color w:val="00053C"/>
          <w:spacing w:val="5"/>
          <w:szCs w:val="24"/>
          <w:lang w:eastAsia="fr-FR"/>
        </w:rPr>
        <w:t xml:space="preserve">tions politiques en matière de sécurité alimentaire et de nutrition. </w:t>
      </w:r>
      <w:r w:rsidRPr="00304197">
        <w:rPr>
          <w:rFonts w:eastAsia="Times New Roman" w:cs="Arial"/>
          <w:b/>
          <w:color w:val="00053C"/>
          <w:spacing w:val="5"/>
          <w:szCs w:val="24"/>
          <w:lang w:eastAsia="fr-FR"/>
        </w:rPr>
        <w:t>Créé en 1974</w:t>
      </w:r>
      <w:r w:rsidRPr="00304197">
        <w:rPr>
          <w:rFonts w:eastAsia="Times New Roman" w:cs="Arial"/>
          <w:color w:val="00053C"/>
          <w:spacing w:val="5"/>
          <w:szCs w:val="24"/>
          <w:lang w:eastAsia="fr-FR"/>
        </w:rPr>
        <w:t>, puis réformé après les émeutes de la faim, la plus value du CSA est qu’il permet de réellement impliquer dans l’ensemble de ses décisions les pays et populations les plus affectés par l’insécurité alimentaire, en se basant sur une approche par les droits.</w:t>
      </w:r>
    </w:p>
    <w:p w:rsidR="00304197" w:rsidRPr="00304197" w:rsidRDefault="00304197" w:rsidP="00304197">
      <w:pPr>
        <w:spacing w:after="100" w:afterAutospacing="1" w:line="307" w:lineRule="atLeast"/>
        <w:rPr>
          <w:rFonts w:eastAsia="Times New Roman" w:cs="Arial"/>
          <w:color w:val="00053C"/>
          <w:spacing w:val="5"/>
          <w:szCs w:val="24"/>
          <w:lang w:eastAsia="fr-FR"/>
        </w:rPr>
      </w:pPr>
      <w:r w:rsidRPr="00304197">
        <w:rPr>
          <w:rFonts w:eastAsia="Times New Roman" w:cs="Arial"/>
          <w:color w:val="00053C"/>
          <w:spacing w:val="5"/>
          <w:szCs w:val="24"/>
          <w:lang w:eastAsia="fr-FR"/>
        </w:rPr>
        <w:t>C’est ainsi l’espace international le plus inclusif existant pour lutter contre la faim dans le monde. </w:t>
      </w:r>
      <w:r w:rsidRPr="00304197">
        <w:rPr>
          <w:rFonts w:eastAsia="Times New Roman" w:cs="Arial"/>
          <w:b/>
          <w:bCs/>
          <w:color w:val="00053C"/>
          <w:spacing w:val="5"/>
          <w:szCs w:val="24"/>
          <w:lang w:eastAsia="fr-FR"/>
        </w:rPr>
        <w:t>Lieu de dialogue</w:t>
      </w:r>
      <w:r w:rsidRPr="00304197">
        <w:rPr>
          <w:rFonts w:eastAsia="Times New Roman" w:cs="Arial"/>
          <w:color w:val="00053C"/>
          <w:spacing w:val="5"/>
          <w:szCs w:val="24"/>
          <w:lang w:eastAsia="fr-FR"/>
        </w:rPr>
        <w:t> </w:t>
      </w:r>
      <w:r w:rsidRPr="00304197">
        <w:rPr>
          <w:rFonts w:eastAsia="Times New Roman" w:cs="Arial"/>
          <w:b/>
          <w:bCs/>
          <w:color w:val="00053C"/>
          <w:spacing w:val="5"/>
          <w:szCs w:val="24"/>
          <w:lang w:eastAsia="fr-FR"/>
        </w:rPr>
        <w:t>et de négociation, il implique tous les acteurs impliqués dans le domaine de la sécurité alimentaire et la nutrition :</w:t>
      </w:r>
      <w:r w:rsidRPr="00304197">
        <w:rPr>
          <w:rFonts w:eastAsia="Times New Roman" w:cs="Arial"/>
          <w:color w:val="00053C"/>
          <w:spacing w:val="5"/>
          <w:szCs w:val="24"/>
          <w:lang w:eastAsia="fr-FR"/>
        </w:rPr>
        <w:br/>
        <w:t>– les gouvernements</w:t>
      </w:r>
      <w:r w:rsidRPr="00304197">
        <w:rPr>
          <w:rFonts w:eastAsia="Times New Roman" w:cs="Arial"/>
          <w:color w:val="00053C"/>
          <w:spacing w:val="5"/>
          <w:szCs w:val="24"/>
          <w:lang w:eastAsia="fr-FR"/>
        </w:rPr>
        <w:br/>
        <w:t>– la société civile (organisations de producteurs, peuples autochtones et ONG)</w:t>
      </w:r>
      <w:r w:rsidRPr="00304197">
        <w:rPr>
          <w:rFonts w:eastAsia="Times New Roman" w:cs="Arial"/>
          <w:color w:val="00053C"/>
          <w:spacing w:val="5"/>
          <w:szCs w:val="24"/>
          <w:lang w:eastAsia="fr-FR"/>
        </w:rPr>
        <w:br/>
        <w:t>– le secteur privé international</w:t>
      </w:r>
      <w:r w:rsidRPr="00304197">
        <w:rPr>
          <w:rFonts w:eastAsia="Times New Roman" w:cs="Arial"/>
          <w:color w:val="00053C"/>
          <w:spacing w:val="5"/>
          <w:szCs w:val="24"/>
          <w:lang w:eastAsia="fr-FR"/>
        </w:rPr>
        <w:br/>
        <w:t>– les instituts de recherche</w:t>
      </w:r>
      <w:r w:rsidRPr="00304197">
        <w:rPr>
          <w:rFonts w:eastAsia="Times New Roman" w:cs="Arial"/>
          <w:color w:val="00053C"/>
          <w:spacing w:val="5"/>
          <w:szCs w:val="24"/>
          <w:lang w:eastAsia="fr-FR"/>
        </w:rPr>
        <w:br/>
        <w:t>– les institutions financières internationales</w:t>
      </w:r>
      <w:r w:rsidRPr="00304197">
        <w:rPr>
          <w:rFonts w:eastAsia="Times New Roman" w:cs="Arial"/>
          <w:color w:val="00053C"/>
          <w:spacing w:val="5"/>
          <w:szCs w:val="24"/>
          <w:lang w:eastAsia="fr-FR"/>
        </w:rPr>
        <w:br/>
        <w:t>– les organisations des Nations Unies (FAO, PAM…)</w:t>
      </w:r>
      <w:r w:rsidRPr="00304197">
        <w:rPr>
          <w:rFonts w:eastAsia="Times New Roman" w:cs="Arial"/>
          <w:color w:val="00053C"/>
          <w:spacing w:val="5"/>
          <w:szCs w:val="24"/>
          <w:lang w:eastAsia="fr-FR"/>
        </w:rPr>
        <w:br/>
        <w:t>– les fondations</w:t>
      </w:r>
      <w:r w:rsidR="0094048E">
        <w:rPr>
          <w:rFonts w:eastAsia="Times New Roman" w:cs="Arial"/>
          <w:color w:val="00053C"/>
          <w:spacing w:val="5"/>
          <w:szCs w:val="24"/>
          <w:lang w:eastAsia="fr-FR"/>
        </w:rPr>
        <w:br/>
      </w:r>
      <w:r w:rsidRPr="00304197">
        <w:rPr>
          <w:rFonts w:eastAsia="Times New Roman" w:cs="Arial"/>
          <w:color w:val="00053C"/>
          <w:spacing w:val="5"/>
          <w:szCs w:val="24"/>
          <w:lang w:eastAsia="fr-FR"/>
        </w:rPr>
        <w:t>Toutefois seuls les États y disposent d’un droit de vote.</w:t>
      </w:r>
    </w:p>
    <w:p w:rsidR="00304197" w:rsidRPr="00304197" w:rsidRDefault="00304197" w:rsidP="0094048E">
      <w:pPr>
        <w:spacing w:after="0" w:line="240" w:lineRule="auto"/>
        <w:jc w:val="center"/>
        <w:rPr>
          <w:rFonts w:eastAsia="Times New Roman" w:cs="Arial"/>
          <w:color w:val="002D64"/>
          <w:szCs w:val="24"/>
          <w:lang w:eastAsia="fr-FR"/>
        </w:rPr>
      </w:pPr>
      <w:r w:rsidRPr="00304197">
        <w:rPr>
          <w:rFonts w:eastAsia="Times New Roman" w:cs="Arial"/>
          <w:noProof/>
          <w:color w:val="002D64"/>
          <w:szCs w:val="24"/>
          <w:lang w:eastAsia="fr-FR"/>
        </w:rPr>
        <w:lastRenderedPageBreak/>
        <w:drawing>
          <wp:inline distT="0" distB="0" distL="0" distR="0">
            <wp:extent cx="5005702" cy="3550920"/>
            <wp:effectExtent l="19050" t="0" r="4448" b="0"/>
            <wp:docPr id="1" name="Image 1" descr="https://ccfd-terresolidaire.org/wp-content/uploads/2022/05/CSA-acteurs-v2-1024x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cfd-terresolidaire.org/wp-content/uploads/2022/05/CSA-acteurs-v2-1024x726.png"/>
                    <pic:cNvPicPr>
                      <a:picLocks noChangeAspect="1" noChangeArrowheads="1"/>
                    </pic:cNvPicPr>
                  </pic:nvPicPr>
                  <pic:blipFill>
                    <a:blip r:embed="rId6"/>
                    <a:srcRect/>
                    <a:stretch>
                      <a:fillRect/>
                    </a:stretch>
                  </pic:blipFill>
                  <pic:spPr bwMode="auto">
                    <a:xfrm>
                      <a:off x="0" y="0"/>
                      <a:ext cx="5009552" cy="3553651"/>
                    </a:xfrm>
                    <a:prstGeom prst="rect">
                      <a:avLst/>
                    </a:prstGeom>
                    <a:noFill/>
                    <a:ln w="9525">
                      <a:noFill/>
                      <a:miter lim="800000"/>
                      <a:headEnd/>
                      <a:tailEnd/>
                    </a:ln>
                  </pic:spPr>
                </pic:pic>
              </a:graphicData>
            </a:graphic>
          </wp:inline>
        </w:drawing>
      </w:r>
    </w:p>
    <w:p w:rsidR="0094048E" w:rsidRDefault="0094048E" w:rsidP="00304197">
      <w:pPr>
        <w:spacing w:after="288" w:line="408" w:lineRule="atLeast"/>
        <w:outlineLvl w:val="1"/>
        <w:rPr>
          <w:rFonts w:eastAsia="Times New Roman" w:cs="Arial"/>
          <w:b/>
          <w:bCs/>
          <w:caps/>
          <w:color w:val="FC6117"/>
          <w:spacing w:val="-5"/>
          <w:szCs w:val="24"/>
          <w:lang w:eastAsia="fr-FR"/>
        </w:rPr>
      </w:pPr>
    </w:p>
    <w:p w:rsidR="0094048E" w:rsidRDefault="0094048E" w:rsidP="00304197">
      <w:pPr>
        <w:spacing w:after="100" w:afterAutospacing="1" w:line="307" w:lineRule="atLeast"/>
        <w:rPr>
          <w:rFonts w:eastAsia="Times New Roman" w:cs="Arial"/>
          <w:color w:val="00053C"/>
          <w:spacing w:val="5"/>
          <w:szCs w:val="24"/>
          <w:lang w:eastAsia="fr-FR"/>
        </w:rPr>
      </w:pPr>
    </w:p>
    <w:p w:rsidR="0094048E" w:rsidRPr="0094048E" w:rsidRDefault="0094048E" w:rsidP="00304197">
      <w:pPr>
        <w:spacing w:after="100" w:afterAutospacing="1" w:line="307" w:lineRule="atLeast"/>
        <w:rPr>
          <w:rFonts w:eastAsia="Times New Roman" w:cs="Arial"/>
          <w:b/>
          <w:color w:val="00053C"/>
          <w:spacing w:val="5"/>
          <w:sz w:val="28"/>
          <w:szCs w:val="24"/>
          <w:lang w:eastAsia="fr-FR"/>
        </w:rPr>
      </w:pPr>
      <w:r w:rsidRPr="0094048E">
        <w:rPr>
          <w:rFonts w:eastAsia="Times New Roman" w:cs="Arial"/>
          <w:b/>
          <w:color w:val="00053C"/>
          <w:spacing w:val="5"/>
          <w:sz w:val="28"/>
          <w:szCs w:val="24"/>
          <w:lang w:eastAsia="fr-FR"/>
        </w:rPr>
        <w:t>Des recommandations politiques</w:t>
      </w:r>
    </w:p>
    <w:p w:rsidR="00304197" w:rsidRPr="00304197" w:rsidRDefault="00304197" w:rsidP="00304197">
      <w:pPr>
        <w:spacing w:after="100" w:afterAutospacing="1" w:line="307" w:lineRule="atLeast"/>
        <w:rPr>
          <w:rFonts w:eastAsia="Times New Roman" w:cs="Arial"/>
          <w:color w:val="00053C"/>
          <w:spacing w:val="5"/>
          <w:szCs w:val="24"/>
          <w:lang w:eastAsia="fr-FR"/>
        </w:rPr>
      </w:pPr>
      <w:r w:rsidRPr="00304197">
        <w:rPr>
          <w:rFonts w:eastAsia="Times New Roman" w:cs="Arial"/>
          <w:color w:val="00053C"/>
          <w:spacing w:val="5"/>
          <w:szCs w:val="24"/>
          <w:lang w:eastAsia="fr-FR"/>
        </w:rPr>
        <w:t>Les recommandations négociées au CSA sont toutes issues d’un long travail de recherche fourni par le </w:t>
      </w:r>
      <w:hyperlink r:id="rId7" w:tgtFrame="_blank" w:history="1">
        <w:r w:rsidRPr="00304197">
          <w:rPr>
            <w:rFonts w:eastAsia="Times New Roman" w:cs="Arial"/>
            <w:color w:val="00558C"/>
            <w:spacing w:val="5"/>
            <w:szCs w:val="24"/>
            <w:u w:val="single"/>
            <w:lang w:eastAsia="fr-FR"/>
          </w:rPr>
          <w:t>HLPE </w:t>
        </w:r>
      </w:hyperlink>
      <w:r w:rsidRPr="00304197">
        <w:rPr>
          <w:rFonts w:eastAsia="Times New Roman" w:cs="Arial"/>
          <w:color w:val="00053C"/>
          <w:spacing w:val="5"/>
          <w:szCs w:val="24"/>
          <w:lang w:eastAsia="fr-FR"/>
        </w:rPr>
        <w:t>(un groupe d’experts de haut niveau sur la sécurité alimentaire et la nutrition). D’une certaine manière, </w:t>
      </w:r>
      <w:r w:rsidRPr="00304197">
        <w:rPr>
          <w:rFonts w:eastAsia="Times New Roman" w:cs="Arial"/>
          <w:b/>
          <w:bCs/>
          <w:color w:val="00053C"/>
          <w:spacing w:val="5"/>
          <w:szCs w:val="24"/>
          <w:lang w:eastAsia="fr-FR"/>
        </w:rPr>
        <w:t>le HLPE est à l’agriculture ce que le GIEC est au climat</w:t>
      </w:r>
      <w:r w:rsidRPr="00304197">
        <w:rPr>
          <w:rFonts w:eastAsia="Times New Roman" w:cs="Arial"/>
          <w:color w:val="00053C"/>
          <w:spacing w:val="5"/>
          <w:szCs w:val="24"/>
          <w:lang w:eastAsia="fr-FR"/>
        </w:rPr>
        <w:t>. Chaque année, il est en charge de rassembler, sous la houlette des principaux experts mondiaux, l’ensemble de la littérature scientifique afin de produire un rapport sur une thématique précise (changement climatique, genre, volatilité des prix, agroécologie, questions foncières, biocarburants etc). </w:t>
      </w:r>
    </w:p>
    <w:p w:rsidR="00304197" w:rsidRPr="00304197" w:rsidRDefault="00304197" w:rsidP="00304197">
      <w:pPr>
        <w:spacing w:after="100" w:afterAutospacing="1" w:line="307" w:lineRule="atLeast"/>
        <w:rPr>
          <w:rFonts w:eastAsia="Times New Roman" w:cs="Arial"/>
          <w:color w:val="00053C"/>
          <w:spacing w:val="5"/>
          <w:szCs w:val="24"/>
          <w:lang w:eastAsia="fr-FR"/>
        </w:rPr>
      </w:pPr>
      <w:r w:rsidRPr="00304197">
        <w:rPr>
          <w:rFonts w:eastAsia="Times New Roman" w:cs="Arial"/>
          <w:color w:val="00053C"/>
          <w:spacing w:val="5"/>
          <w:szCs w:val="24"/>
          <w:lang w:eastAsia="fr-FR"/>
        </w:rPr>
        <w:t>Suite à ces rapports, l’ensemble des membres du CSA se retrouve pour transformer ses conclusions en recommandations politiques.</w:t>
      </w:r>
    </w:p>
    <w:p w:rsidR="0094048E" w:rsidRDefault="0094048E" w:rsidP="00304197">
      <w:pPr>
        <w:spacing w:after="288" w:line="408" w:lineRule="atLeast"/>
        <w:outlineLvl w:val="1"/>
        <w:rPr>
          <w:rFonts w:eastAsia="Times New Roman" w:cs="Arial"/>
          <w:b/>
          <w:bCs/>
          <w:caps/>
          <w:color w:val="FC6117"/>
          <w:spacing w:val="-5"/>
          <w:szCs w:val="24"/>
          <w:lang w:eastAsia="fr-FR"/>
        </w:rPr>
      </w:pPr>
    </w:p>
    <w:p w:rsidR="0094048E" w:rsidRDefault="0094048E" w:rsidP="00304197">
      <w:pPr>
        <w:spacing w:after="288" w:line="408" w:lineRule="atLeast"/>
        <w:outlineLvl w:val="1"/>
        <w:rPr>
          <w:rFonts w:eastAsia="Times New Roman" w:cs="Arial"/>
          <w:b/>
          <w:bCs/>
          <w:caps/>
          <w:color w:val="FC6117"/>
          <w:spacing w:val="-5"/>
          <w:szCs w:val="24"/>
          <w:lang w:eastAsia="fr-FR"/>
        </w:rPr>
      </w:pPr>
    </w:p>
    <w:p w:rsidR="0094048E" w:rsidRDefault="0094048E" w:rsidP="00304197">
      <w:pPr>
        <w:spacing w:after="288" w:line="408" w:lineRule="atLeast"/>
        <w:outlineLvl w:val="1"/>
        <w:rPr>
          <w:rFonts w:eastAsia="Times New Roman" w:cs="Arial"/>
          <w:b/>
          <w:bCs/>
          <w:caps/>
          <w:color w:val="FC6117"/>
          <w:spacing w:val="-5"/>
          <w:szCs w:val="24"/>
          <w:lang w:eastAsia="fr-FR"/>
        </w:rPr>
      </w:pPr>
    </w:p>
    <w:p w:rsidR="0094048E" w:rsidRDefault="0094048E" w:rsidP="00304197">
      <w:pPr>
        <w:spacing w:after="288" w:line="408" w:lineRule="atLeast"/>
        <w:outlineLvl w:val="1"/>
        <w:rPr>
          <w:rFonts w:eastAsia="Times New Roman" w:cs="Arial"/>
          <w:b/>
          <w:bCs/>
          <w:caps/>
          <w:color w:val="FC6117"/>
          <w:spacing w:val="-5"/>
          <w:szCs w:val="24"/>
          <w:lang w:eastAsia="fr-FR"/>
        </w:rPr>
      </w:pPr>
    </w:p>
    <w:p w:rsidR="00304197" w:rsidRDefault="0094048E" w:rsidP="00304197">
      <w:pPr>
        <w:spacing w:after="288" w:line="408" w:lineRule="atLeast"/>
        <w:outlineLvl w:val="1"/>
        <w:rPr>
          <w:rFonts w:eastAsia="Times New Roman" w:cs="Arial"/>
          <w:b/>
          <w:bCs/>
          <w:spacing w:val="-5"/>
          <w:sz w:val="28"/>
          <w:szCs w:val="24"/>
          <w:lang w:eastAsia="fr-FR"/>
        </w:rPr>
      </w:pPr>
      <w:r>
        <w:rPr>
          <w:rFonts w:eastAsia="Times New Roman" w:cs="Arial"/>
          <w:b/>
          <w:bCs/>
          <w:spacing w:val="-5"/>
          <w:sz w:val="28"/>
          <w:szCs w:val="24"/>
          <w:lang w:eastAsia="fr-FR"/>
        </w:rPr>
        <w:lastRenderedPageBreak/>
        <w:t>L</w:t>
      </w:r>
      <w:r w:rsidRPr="0094048E">
        <w:rPr>
          <w:rFonts w:eastAsia="Times New Roman" w:cs="Arial"/>
          <w:b/>
          <w:bCs/>
          <w:spacing w:val="-5"/>
          <w:sz w:val="28"/>
          <w:szCs w:val="24"/>
          <w:lang w:eastAsia="fr-FR"/>
        </w:rPr>
        <w:t xml:space="preserve">es six fonctions du </w:t>
      </w:r>
      <w:r>
        <w:rPr>
          <w:rFonts w:eastAsia="Times New Roman" w:cs="Arial"/>
          <w:b/>
          <w:bCs/>
          <w:spacing w:val="-5"/>
          <w:sz w:val="28"/>
          <w:szCs w:val="24"/>
          <w:lang w:eastAsia="fr-FR"/>
        </w:rPr>
        <w:t>CSA</w:t>
      </w:r>
    </w:p>
    <w:p w:rsidR="0094048E" w:rsidRPr="00304197" w:rsidRDefault="0094048E" w:rsidP="00304197">
      <w:pPr>
        <w:spacing w:after="288" w:line="408" w:lineRule="atLeast"/>
        <w:outlineLvl w:val="1"/>
        <w:rPr>
          <w:rFonts w:eastAsia="Times New Roman" w:cs="Arial"/>
          <w:b/>
          <w:bCs/>
          <w:caps/>
          <w:spacing w:val="-5"/>
          <w:sz w:val="28"/>
          <w:szCs w:val="24"/>
          <w:lang w:eastAsia="fr-FR"/>
        </w:rPr>
      </w:pPr>
    </w:p>
    <w:p w:rsidR="00304197" w:rsidRPr="00304197" w:rsidRDefault="00304197" w:rsidP="00304197">
      <w:pPr>
        <w:spacing w:after="0" w:line="240" w:lineRule="auto"/>
        <w:rPr>
          <w:rFonts w:eastAsia="Times New Roman" w:cs="Arial"/>
          <w:color w:val="002D64"/>
          <w:szCs w:val="24"/>
          <w:lang w:eastAsia="fr-FR"/>
        </w:rPr>
      </w:pPr>
      <w:r w:rsidRPr="00304197">
        <w:rPr>
          <w:rFonts w:eastAsia="Times New Roman" w:cs="Arial"/>
          <w:noProof/>
          <w:color w:val="002D64"/>
          <w:szCs w:val="24"/>
          <w:lang w:eastAsia="fr-FR"/>
        </w:rPr>
        <w:drawing>
          <wp:inline distT="0" distB="0" distL="0" distR="0">
            <wp:extent cx="5355937" cy="3799368"/>
            <wp:effectExtent l="19050" t="0" r="0" b="0"/>
            <wp:docPr id="2" name="Image 2" descr="https://ccfd-terresolidaire.org/wp-content/uploads/2022/05/Graphiques-CSA-1024x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cfd-terresolidaire.org/wp-content/uploads/2022/05/Graphiques-CSA-1024x726.png"/>
                    <pic:cNvPicPr>
                      <a:picLocks noChangeAspect="1" noChangeArrowheads="1"/>
                    </pic:cNvPicPr>
                  </pic:nvPicPr>
                  <pic:blipFill>
                    <a:blip r:embed="rId8"/>
                    <a:srcRect/>
                    <a:stretch>
                      <a:fillRect/>
                    </a:stretch>
                  </pic:blipFill>
                  <pic:spPr bwMode="auto">
                    <a:xfrm>
                      <a:off x="0" y="0"/>
                      <a:ext cx="5355937" cy="3799368"/>
                    </a:xfrm>
                    <a:prstGeom prst="rect">
                      <a:avLst/>
                    </a:prstGeom>
                    <a:noFill/>
                    <a:ln w="9525">
                      <a:noFill/>
                      <a:miter lim="800000"/>
                      <a:headEnd/>
                      <a:tailEnd/>
                    </a:ln>
                  </pic:spPr>
                </pic:pic>
              </a:graphicData>
            </a:graphic>
          </wp:inline>
        </w:drawing>
      </w:r>
    </w:p>
    <w:p w:rsidR="00304197" w:rsidRDefault="00304197" w:rsidP="00304197">
      <w:pPr>
        <w:spacing w:after="288" w:line="408" w:lineRule="atLeast"/>
        <w:outlineLvl w:val="1"/>
        <w:rPr>
          <w:rFonts w:eastAsia="Times New Roman" w:cs="Arial"/>
          <w:b/>
          <w:bCs/>
          <w:caps/>
          <w:color w:val="FC6117"/>
          <w:spacing w:val="-5"/>
          <w:szCs w:val="24"/>
          <w:lang w:eastAsia="fr-FR"/>
        </w:rPr>
      </w:pPr>
    </w:p>
    <w:p w:rsidR="00304197" w:rsidRPr="00304197" w:rsidRDefault="0094048E" w:rsidP="00304197">
      <w:pPr>
        <w:spacing w:after="288" w:line="408" w:lineRule="atLeast"/>
        <w:outlineLvl w:val="1"/>
        <w:rPr>
          <w:rFonts w:eastAsia="Times New Roman" w:cs="Arial"/>
          <w:b/>
          <w:bCs/>
          <w:caps/>
          <w:spacing w:val="-5"/>
          <w:sz w:val="28"/>
          <w:szCs w:val="24"/>
          <w:lang w:eastAsia="fr-FR"/>
        </w:rPr>
      </w:pPr>
      <w:r w:rsidRPr="0094048E">
        <w:rPr>
          <w:rFonts w:eastAsia="Times New Roman" w:cs="Arial"/>
          <w:b/>
          <w:bCs/>
          <w:spacing w:val="-5"/>
          <w:sz w:val="28"/>
          <w:szCs w:val="24"/>
          <w:lang w:eastAsia="fr-FR"/>
        </w:rPr>
        <w:t>Le rôle clé de la société civile</w:t>
      </w:r>
    </w:p>
    <w:p w:rsidR="00304197" w:rsidRPr="00304197" w:rsidRDefault="00304197" w:rsidP="00304197">
      <w:pPr>
        <w:spacing w:after="100" w:afterAutospacing="1" w:line="307" w:lineRule="atLeast"/>
        <w:rPr>
          <w:rFonts w:eastAsia="Times New Roman" w:cs="Arial"/>
          <w:color w:val="00053C"/>
          <w:spacing w:val="5"/>
          <w:szCs w:val="24"/>
          <w:lang w:eastAsia="fr-FR"/>
        </w:rPr>
      </w:pPr>
      <w:r w:rsidRPr="00304197">
        <w:rPr>
          <w:rFonts w:eastAsia="Times New Roman" w:cs="Arial"/>
          <w:color w:val="00053C"/>
          <w:spacing w:val="5"/>
          <w:szCs w:val="24"/>
          <w:lang w:eastAsia="fr-FR"/>
        </w:rPr>
        <w:t>La société civile joue un rôle clé dans les négociations. </w:t>
      </w:r>
      <w:r w:rsidRPr="00304197">
        <w:rPr>
          <w:rFonts w:eastAsia="Times New Roman" w:cs="Arial"/>
          <w:b/>
          <w:bCs/>
          <w:color w:val="00053C"/>
          <w:spacing w:val="5"/>
          <w:szCs w:val="24"/>
          <w:lang w:eastAsia="fr-FR"/>
        </w:rPr>
        <w:t>Regroupée sous l’égide du </w:t>
      </w:r>
      <w:hyperlink r:id="rId9" w:tgtFrame="_blank" w:history="1">
        <w:r w:rsidRPr="00304197">
          <w:rPr>
            <w:rFonts w:eastAsia="Times New Roman" w:cs="Arial"/>
            <w:b/>
            <w:bCs/>
            <w:color w:val="00558C"/>
            <w:spacing w:val="5"/>
            <w:szCs w:val="24"/>
            <w:u w:val="single"/>
            <w:lang w:eastAsia="fr-FR"/>
          </w:rPr>
          <w:t>Mécanisme de la société civile et des peuples autochtones</w:t>
        </w:r>
      </w:hyperlink>
      <w:r w:rsidRPr="00304197">
        <w:rPr>
          <w:rFonts w:eastAsia="Times New Roman" w:cs="Arial"/>
          <w:b/>
          <w:bCs/>
          <w:color w:val="00053C"/>
          <w:spacing w:val="5"/>
          <w:szCs w:val="24"/>
          <w:lang w:eastAsia="fr-FR"/>
        </w:rPr>
        <w:t> (MSC), elle participe à toutes les étapes des processus. </w:t>
      </w:r>
      <w:r w:rsidRPr="00304197">
        <w:rPr>
          <w:rFonts w:eastAsia="Times New Roman" w:cs="Arial"/>
          <w:color w:val="00053C"/>
          <w:spacing w:val="5"/>
          <w:szCs w:val="24"/>
          <w:lang w:eastAsia="fr-FR"/>
        </w:rPr>
        <w:t>Du choix des thématiques, au rapport du HLPE jusqu’à la négociation entre les États, elle produit et valorise ses propres argumentaires, témoigne de la réalité du terrain et s’exprime d’une seule voix.</w:t>
      </w:r>
    </w:p>
    <w:p w:rsidR="00304197" w:rsidRPr="00304197" w:rsidRDefault="00304197" w:rsidP="00304197">
      <w:pPr>
        <w:spacing w:after="100" w:afterAutospacing="1" w:line="307" w:lineRule="atLeast"/>
        <w:rPr>
          <w:rFonts w:eastAsia="Times New Roman" w:cs="Arial"/>
          <w:color w:val="00053C"/>
          <w:spacing w:val="5"/>
          <w:szCs w:val="24"/>
          <w:lang w:eastAsia="fr-FR"/>
        </w:rPr>
      </w:pPr>
      <w:r w:rsidRPr="00304197">
        <w:rPr>
          <w:rFonts w:eastAsia="Times New Roman" w:cs="Arial"/>
          <w:color w:val="00053C"/>
          <w:spacing w:val="5"/>
          <w:szCs w:val="24"/>
          <w:lang w:eastAsia="fr-FR"/>
        </w:rPr>
        <w:t> A ce jour le MSC regroupe plus de 300 millions de membres. Le CCFD-Terre Solidaire et </w:t>
      </w:r>
      <w:hyperlink r:id="rId10" w:tgtFrame="_blank" w:history="1">
        <w:r w:rsidRPr="00304197">
          <w:rPr>
            <w:rFonts w:eastAsia="Times New Roman" w:cs="Arial"/>
            <w:color w:val="00558C"/>
            <w:spacing w:val="5"/>
            <w:szCs w:val="24"/>
            <w:u w:val="single"/>
            <w:lang w:eastAsia="fr-FR"/>
          </w:rPr>
          <w:t>ses partenaires </w:t>
        </w:r>
      </w:hyperlink>
      <w:r w:rsidRPr="00304197">
        <w:rPr>
          <w:rFonts w:eastAsia="Times New Roman" w:cs="Arial"/>
          <w:color w:val="00053C"/>
          <w:spacing w:val="5"/>
          <w:szCs w:val="24"/>
          <w:lang w:eastAsia="fr-FR"/>
        </w:rPr>
        <w:t>sont très investis dans ses différents groupes de travail.</w:t>
      </w:r>
    </w:p>
    <w:p w:rsidR="00304197" w:rsidRPr="00304197" w:rsidRDefault="0094048E" w:rsidP="00304197">
      <w:pPr>
        <w:spacing w:after="288" w:line="408" w:lineRule="atLeast"/>
        <w:outlineLvl w:val="1"/>
        <w:rPr>
          <w:rFonts w:eastAsia="Times New Roman" w:cs="Arial"/>
          <w:b/>
          <w:bCs/>
          <w:caps/>
          <w:spacing w:val="-5"/>
          <w:sz w:val="28"/>
          <w:szCs w:val="24"/>
          <w:lang w:eastAsia="fr-FR"/>
        </w:rPr>
      </w:pPr>
      <w:r w:rsidRPr="0094048E">
        <w:rPr>
          <w:rFonts w:eastAsia="Times New Roman" w:cs="Arial"/>
          <w:b/>
          <w:bCs/>
          <w:spacing w:val="-5"/>
          <w:sz w:val="28"/>
          <w:szCs w:val="24"/>
          <w:lang w:eastAsia="fr-FR"/>
        </w:rPr>
        <w:t>Coordonner la réponse à la crise alimentaire</w:t>
      </w:r>
    </w:p>
    <w:p w:rsidR="00304197" w:rsidRPr="00304197" w:rsidRDefault="00304197" w:rsidP="00304197">
      <w:pPr>
        <w:spacing w:after="100" w:afterAutospacing="1" w:line="307" w:lineRule="atLeast"/>
        <w:rPr>
          <w:rFonts w:eastAsia="Times New Roman" w:cs="Arial"/>
          <w:color w:val="00053C"/>
          <w:spacing w:val="5"/>
          <w:szCs w:val="24"/>
          <w:lang w:eastAsia="fr-FR"/>
        </w:rPr>
      </w:pPr>
      <w:r w:rsidRPr="00304197">
        <w:rPr>
          <w:rFonts w:eastAsia="Times New Roman" w:cs="Arial"/>
          <w:color w:val="00053C"/>
          <w:spacing w:val="5"/>
          <w:szCs w:val="24"/>
          <w:lang w:eastAsia="fr-FR"/>
        </w:rPr>
        <w:t>Le CSA se réunit chaque année en octobre au siège de la FAO, à Rome. Cette session rassemble 137 Etats et plus de 200 organismes du groupe consultatif. Des réunions intermédiaires sont organisés tout au long de l’année.</w:t>
      </w:r>
    </w:p>
    <w:p w:rsidR="00304197" w:rsidRPr="00304197" w:rsidRDefault="00304197" w:rsidP="00304197">
      <w:pPr>
        <w:spacing w:after="100" w:afterAutospacing="1" w:line="307" w:lineRule="atLeast"/>
        <w:rPr>
          <w:rFonts w:eastAsia="Times New Roman" w:cs="Arial"/>
          <w:color w:val="00053C"/>
          <w:spacing w:val="5"/>
          <w:szCs w:val="24"/>
          <w:lang w:eastAsia="fr-FR"/>
        </w:rPr>
      </w:pPr>
      <w:r w:rsidRPr="00304197">
        <w:rPr>
          <w:rFonts w:eastAsia="Times New Roman" w:cs="Arial"/>
          <w:color w:val="00053C"/>
          <w:spacing w:val="5"/>
          <w:szCs w:val="24"/>
          <w:lang w:eastAsia="fr-FR"/>
        </w:rPr>
        <w:lastRenderedPageBreak/>
        <w:t>Suite à la guerre en Ukraine, le monde fait face à une crise des prix alimentaires sans précédent qui va avoir des conséquences dramatiques. C’est une crise complexe qui nécessite une coordination internationale. </w:t>
      </w:r>
      <w:r w:rsidRPr="00304197">
        <w:rPr>
          <w:rFonts w:eastAsia="Times New Roman" w:cs="Arial"/>
          <w:b/>
          <w:bCs/>
          <w:color w:val="00053C"/>
          <w:spacing w:val="5"/>
          <w:szCs w:val="24"/>
          <w:lang w:eastAsia="fr-FR"/>
        </w:rPr>
        <w:t>Le CSA, réformé pour pouvoir agir dans un tel contexte, est le plus pertinent pour coordonner les réponses à la crise.</w:t>
      </w:r>
      <w:r w:rsidRPr="00304197">
        <w:rPr>
          <w:rFonts w:eastAsia="Times New Roman" w:cs="Arial"/>
          <w:color w:val="00053C"/>
          <w:spacing w:val="5"/>
          <w:szCs w:val="24"/>
          <w:lang w:eastAsia="fr-FR"/>
        </w:rPr>
        <w:t> Or, à ce jour il n’a toujours pas été mandaté par les États. </w:t>
      </w:r>
    </w:p>
    <w:p w:rsidR="00304197" w:rsidRPr="00304197" w:rsidRDefault="00304197" w:rsidP="00304197">
      <w:pPr>
        <w:spacing w:after="100" w:afterAutospacing="1" w:line="360" w:lineRule="atLeast"/>
        <w:rPr>
          <w:rFonts w:eastAsia="Times New Roman" w:cs="Arial"/>
          <w:b/>
          <w:bCs/>
          <w:caps/>
          <w:color w:val="00053C"/>
          <w:spacing w:val="-5"/>
          <w:szCs w:val="24"/>
          <w:lang w:eastAsia="fr-FR"/>
        </w:rPr>
      </w:pPr>
    </w:p>
    <w:sectPr w:rsidR="00304197" w:rsidRPr="00304197" w:rsidSect="00D87A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68E" w:rsidRDefault="00D5468E" w:rsidP="0094048E">
      <w:pPr>
        <w:spacing w:after="0" w:line="240" w:lineRule="auto"/>
      </w:pPr>
      <w:r>
        <w:separator/>
      </w:r>
    </w:p>
  </w:endnote>
  <w:endnote w:type="continuationSeparator" w:id="1">
    <w:p w:rsidR="00D5468E" w:rsidRDefault="00D5468E" w:rsidP="00940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94048E" w:rsidRPr="005F053A">
      <w:tc>
        <w:tcPr>
          <w:tcW w:w="918" w:type="dxa"/>
        </w:tcPr>
        <w:p w:rsidR="0094048E" w:rsidRDefault="0094048E">
          <w:pPr>
            <w:pStyle w:val="Pieddepage"/>
            <w:jc w:val="right"/>
            <w:rPr>
              <w:b/>
              <w:color w:val="4F81BD" w:themeColor="accent1"/>
              <w:sz w:val="32"/>
              <w:szCs w:val="32"/>
            </w:rPr>
          </w:pPr>
          <w:fldSimple w:instr=" PAGE   \* MERGEFORMAT ">
            <w:r w:rsidR="005F053A" w:rsidRPr="005F053A">
              <w:rPr>
                <w:b/>
                <w:noProof/>
                <w:color w:val="4F81BD" w:themeColor="accent1"/>
                <w:sz w:val="32"/>
                <w:szCs w:val="32"/>
              </w:rPr>
              <w:t>1</w:t>
            </w:r>
          </w:fldSimple>
        </w:p>
      </w:tc>
      <w:tc>
        <w:tcPr>
          <w:tcW w:w="7938" w:type="dxa"/>
        </w:tcPr>
        <w:p w:rsidR="0094048E" w:rsidRPr="005F053A" w:rsidRDefault="005F053A" w:rsidP="0094048E">
          <w:pPr>
            <w:pStyle w:val="Pieddepage"/>
            <w:rPr>
              <w:sz w:val="22"/>
            </w:rPr>
          </w:pPr>
          <w:r>
            <w:rPr>
              <w:sz w:val="22"/>
            </w:rPr>
            <w:t xml:space="preserve">Fiche : </w:t>
          </w:r>
          <w:r w:rsidR="0094048E" w:rsidRPr="005F053A">
            <w:rPr>
              <w:sz w:val="22"/>
            </w:rPr>
            <w:t xml:space="preserve">Le </w:t>
          </w:r>
          <w:r w:rsidR="0094048E" w:rsidRPr="005F053A">
            <w:rPr>
              <w:b/>
              <w:sz w:val="22"/>
            </w:rPr>
            <w:t>CSA</w:t>
          </w:r>
          <w:r w:rsidR="0094048E" w:rsidRPr="005F053A">
            <w:rPr>
              <w:sz w:val="22"/>
            </w:rPr>
            <w:t xml:space="preserve"> - Comité de la sécurité alimentaire mondiale -</w:t>
          </w:r>
          <w:r>
            <w:rPr>
              <w:sz w:val="22"/>
            </w:rPr>
            <w:t xml:space="preserve"> </w:t>
          </w:r>
          <w:r w:rsidR="0094048E" w:rsidRPr="005F053A">
            <w:rPr>
              <w:sz w:val="22"/>
            </w:rPr>
            <w:t>Janv 2022 - Collectif alimentation</w:t>
          </w:r>
        </w:p>
      </w:tc>
    </w:tr>
  </w:tbl>
  <w:p w:rsidR="0094048E" w:rsidRDefault="0094048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68E" w:rsidRDefault="00D5468E" w:rsidP="0094048E">
      <w:pPr>
        <w:spacing w:after="0" w:line="240" w:lineRule="auto"/>
      </w:pPr>
      <w:r>
        <w:separator/>
      </w:r>
    </w:p>
  </w:footnote>
  <w:footnote w:type="continuationSeparator" w:id="1">
    <w:p w:rsidR="00D5468E" w:rsidRDefault="00D5468E" w:rsidP="009404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04197"/>
    <w:rsid w:val="00304197"/>
    <w:rsid w:val="005F053A"/>
    <w:rsid w:val="0094048E"/>
    <w:rsid w:val="00B76AC8"/>
    <w:rsid w:val="00D5468E"/>
    <w:rsid w:val="00D87A1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10"/>
  </w:style>
  <w:style w:type="paragraph" w:styleId="Titre1">
    <w:name w:val="heading 1"/>
    <w:basedOn w:val="Normal"/>
    <w:link w:val="Titre1Car"/>
    <w:uiPriority w:val="9"/>
    <w:qFormat/>
    <w:rsid w:val="003041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0419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419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04197"/>
    <w:rPr>
      <w:rFonts w:ascii="Times New Roman" w:eastAsia="Times New Roman" w:hAnsi="Times New Roman" w:cs="Times New Roman"/>
      <w:b/>
      <w:bCs/>
      <w:sz w:val="36"/>
      <w:szCs w:val="36"/>
      <w:lang w:eastAsia="fr-FR"/>
    </w:rPr>
  </w:style>
  <w:style w:type="character" w:customStyle="1" w:styleId="single-date-item">
    <w:name w:val="single-date-item"/>
    <w:basedOn w:val="Policepardfaut"/>
    <w:rsid w:val="00304197"/>
  </w:style>
  <w:style w:type="paragraph" w:styleId="NormalWeb">
    <w:name w:val="Normal (Web)"/>
    <w:basedOn w:val="Normal"/>
    <w:uiPriority w:val="99"/>
    <w:semiHidden/>
    <w:unhideWhenUsed/>
    <w:rsid w:val="00304197"/>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ev">
    <w:name w:val="Strong"/>
    <w:basedOn w:val="Policepardfaut"/>
    <w:uiPriority w:val="22"/>
    <w:qFormat/>
    <w:rsid w:val="00304197"/>
    <w:rPr>
      <w:b/>
      <w:bCs/>
    </w:rPr>
  </w:style>
  <w:style w:type="character" w:styleId="Lienhypertexte">
    <w:name w:val="Hyperlink"/>
    <w:basedOn w:val="Policepardfaut"/>
    <w:uiPriority w:val="99"/>
    <w:semiHidden/>
    <w:unhideWhenUsed/>
    <w:rsid w:val="00304197"/>
    <w:rPr>
      <w:color w:val="0000FF"/>
      <w:u w:val="single"/>
    </w:rPr>
  </w:style>
  <w:style w:type="paragraph" w:styleId="En-tte">
    <w:name w:val="header"/>
    <w:basedOn w:val="Normal"/>
    <w:link w:val="En-tteCar"/>
    <w:uiPriority w:val="99"/>
    <w:semiHidden/>
    <w:unhideWhenUsed/>
    <w:rsid w:val="0094048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4048E"/>
  </w:style>
  <w:style w:type="paragraph" w:styleId="Pieddepage">
    <w:name w:val="footer"/>
    <w:basedOn w:val="Normal"/>
    <w:link w:val="PieddepageCar"/>
    <w:uiPriority w:val="99"/>
    <w:unhideWhenUsed/>
    <w:rsid w:val="009404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048E"/>
  </w:style>
</w:styles>
</file>

<file path=word/webSettings.xml><?xml version="1.0" encoding="utf-8"?>
<w:webSettings xmlns:r="http://schemas.openxmlformats.org/officeDocument/2006/relationships" xmlns:w="http://schemas.openxmlformats.org/wordprocessingml/2006/main">
  <w:divs>
    <w:div w:id="1816681530">
      <w:bodyDiv w:val="1"/>
      <w:marLeft w:val="0"/>
      <w:marRight w:val="0"/>
      <w:marTop w:val="0"/>
      <w:marBottom w:val="0"/>
      <w:divBdr>
        <w:top w:val="none" w:sz="0" w:space="0" w:color="auto"/>
        <w:left w:val="none" w:sz="0" w:space="0" w:color="auto"/>
        <w:bottom w:val="none" w:sz="0" w:space="0" w:color="auto"/>
        <w:right w:val="none" w:sz="0" w:space="0" w:color="auto"/>
      </w:divBdr>
      <w:divsChild>
        <w:div w:id="199100150">
          <w:marLeft w:val="0"/>
          <w:marRight w:val="0"/>
          <w:marTop w:val="0"/>
          <w:marBottom w:val="240"/>
          <w:divBdr>
            <w:top w:val="none" w:sz="0" w:space="0" w:color="auto"/>
            <w:left w:val="none" w:sz="0" w:space="0" w:color="auto"/>
            <w:bottom w:val="none" w:sz="0" w:space="0" w:color="auto"/>
            <w:right w:val="none" w:sz="0" w:space="0" w:color="auto"/>
          </w:divBdr>
        </w:div>
        <w:div w:id="388891858">
          <w:marLeft w:val="0"/>
          <w:marRight w:val="0"/>
          <w:marTop w:val="960"/>
          <w:marBottom w:val="0"/>
          <w:divBdr>
            <w:top w:val="none" w:sz="0" w:space="0" w:color="auto"/>
            <w:left w:val="none" w:sz="0" w:space="0" w:color="auto"/>
            <w:bottom w:val="none" w:sz="0" w:space="0" w:color="auto"/>
            <w:right w:val="none" w:sz="0" w:space="0" w:color="auto"/>
          </w:divBdr>
          <w:divsChild>
            <w:div w:id="133254697">
              <w:marLeft w:val="0"/>
              <w:marRight w:val="0"/>
              <w:marTop w:val="0"/>
              <w:marBottom w:val="0"/>
              <w:divBdr>
                <w:top w:val="none" w:sz="0" w:space="0" w:color="auto"/>
                <w:left w:val="none" w:sz="0" w:space="0" w:color="auto"/>
                <w:bottom w:val="none" w:sz="0" w:space="0" w:color="auto"/>
                <w:right w:val="none" w:sz="0" w:space="0" w:color="auto"/>
              </w:divBdr>
            </w:div>
            <w:div w:id="756368171">
              <w:marLeft w:val="0"/>
              <w:marRight w:val="0"/>
              <w:marTop w:val="0"/>
              <w:marBottom w:val="0"/>
              <w:divBdr>
                <w:top w:val="none" w:sz="0" w:space="0" w:color="auto"/>
                <w:left w:val="none" w:sz="0" w:space="0" w:color="auto"/>
                <w:bottom w:val="none" w:sz="0" w:space="0" w:color="auto"/>
                <w:right w:val="none" w:sz="0" w:space="0" w:color="auto"/>
              </w:divBdr>
            </w:div>
            <w:div w:id="1463690999">
              <w:marLeft w:val="0"/>
              <w:marRight w:val="0"/>
              <w:marTop w:val="0"/>
              <w:marBottom w:val="0"/>
              <w:divBdr>
                <w:top w:val="none" w:sz="0" w:space="0" w:color="auto"/>
                <w:left w:val="none" w:sz="0" w:space="0" w:color="auto"/>
                <w:bottom w:val="none" w:sz="0" w:space="0" w:color="auto"/>
                <w:right w:val="none" w:sz="0" w:space="0" w:color="auto"/>
              </w:divBdr>
            </w:div>
            <w:div w:id="1665860204">
              <w:marLeft w:val="0"/>
              <w:marRight w:val="0"/>
              <w:marTop w:val="0"/>
              <w:marBottom w:val="0"/>
              <w:divBdr>
                <w:top w:val="none" w:sz="0" w:space="0" w:color="auto"/>
                <w:left w:val="none" w:sz="0" w:space="0" w:color="auto"/>
                <w:bottom w:val="none" w:sz="0" w:space="0" w:color="auto"/>
                <w:right w:val="none" w:sz="0" w:space="0" w:color="auto"/>
              </w:divBdr>
            </w:div>
            <w:div w:id="1740129993">
              <w:marLeft w:val="0"/>
              <w:marRight w:val="0"/>
              <w:marTop w:val="0"/>
              <w:marBottom w:val="0"/>
              <w:divBdr>
                <w:top w:val="none" w:sz="0" w:space="0" w:color="auto"/>
                <w:left w:val="none" w:sz="0" w:space="0" w:color="auto"/>
                <w:bottom w:val="none" w:sz="0" w:space="0" w:color="auto"/>
                <w:right w:val="none" w:sz="0" w:space="0" w:color="auto"/>
              </w:divBdr>
            </w:div>
            <w:div w:id="673531083">
              <w:marLeft w:val="0"/>
              <w:marRight w:val="0"/>
              <w:marTop w:val="0"/>
              <w:marBottom w:val="0"/>
              <w:divBdr>
                <w:top w:val="none" w:sz="0" w:space="0" w:color="auto"/>
                <w:left w:val="none" w:sz="0" w:space="0" w:color="auto"/>
                <w:bottom w:val="none" w:sz="0" w:space="0" w:color="auto"/>
                <w:right w:val="none" w:sz="0" w:space="0" w:color="auto"/>
              </w:divBdr>
            </w:div>
            <w:div w:id="1269967119">
              <w:marLeft w:val="0"/>
              <w:marRight w:val="0"/>
              <w:marTop w:val="0"/>
              <w:marBottom w:val="0"/>
              <w:divBdr>
                <w:top w:val="none" w:sz="0" w:space="0" w:color="auto"/>
                <w:left w:val="none" w:sz="0" w:space="0" w:color="auto"/>
                <w:bottom w:val="none" w:sz="0" w:space="0" w:color="auto"/>
                <w:right w:val="none" w:sz="0" w:space="0" w:color="auto"/>
              </w:divBdr>
            </w:div>
            <w:div w:id="928268515">
              <w:marLeft w:val="0"/>
              <w:marRight w:val="0"/>
              <w:marTop w:val="0"/>
              <w:marBottom w:val="0"/>
              <w:divBdr>
                <w:top w:val="none" w:sz="0" w:space="0" w:color="auto"/>
                <w:left w:val="none" w:sz="0" w:space="0" w:color="auto"/>
                <w:bottom w:val="none" w:sz="0" w:space="0" w:color="auto"/>
                <w:right w:val="none" w:sz="0" w:space="0" w:color="auto"/>
              </w:divBdr>
            </w:div>
            <w:div w:id="1348825308">
              <w:marLeft w:val="0"/>
              <w:marRight w:val="0"/>
              <w:marTop w:val="0"/>
              <w:marBottom w:val="0"/>
              <w:divBdr>
                <w:top w:val="none" w:sz="0" w:space="0" w:color="auto"/>
                <w:left w:val="none" w:sz="0" w:space="0" w:color="auto"/>
                <w:bottom w:val="none" w:sz="0" w:space="0" w:color="auto"/>
                <w:right w:val="none" w:sz="0" w:space="0" w:color="auto"/>
              </w:divBdr>
            </w:div>
            <w:div w:id="1275290622">
              <w:marLeft w:val="0"/>
              <w:marRight w:val="0"/>
              <w:marTop w:val="0"/>
              <w:marBottom w:val="0"/>
              <w:divBdr>
                <w:top w:val="none" w:sz="0" w:space="0" w:color="auto"/>
                <w:left w:val="none" w:sz="0" w:space="0" w:color="auto"/>
                <w:bottom w:val="none" w:sz="0" w:space="0" w:color="auto"/>
                <w:right w:val="none" w:sz="0" w:space="0" w:color="auto"/>
              </w:divBdr>
            </w:div>
            <w:div w:id="1015036360">
              <w:marLeft w:val="0"/>
              <w:marRight w:val="0"/>
              <w:marTop w:val="0"/>
              <w:marBottom w:val="0"/>
              <w:divBdr>
                <w:top w:val="none" w:sz="0" w:space="0" w:color="auto"/>
                <w:left w:val="none" w:sz="0" w:space="0" w:color="auto"/>
                <w:bottom w:val="none" w:sz="0" w:space="0" w:color="auto"/>
                <w:right w:val="none" w:sz="0" w:space="0" w:color="auto"/>
              </w:divBdr>
            </w:div>
            <w:div w:id="1356999484">
              <w:marLeft w:val="0"/>
              <w:marRight w:val="0"/>
              <w:marTop w:val="0"/>
              <w:marBottom w:val="0"/>
              <w:divBdr>
                <w:top w:val="none" w:sz="0" w:space="0" w:color="auto"/>
                <w:left w:val="none" w:sz="0" w:space="0" w:color="auto"/>
                <w:bottom w:val="none" w:sz="0" w:space="0" w:color="auto"/>
                <w:right w:val="none" w:sz="0" w:space="0" w:color="auto"/>
              </w:divBdr>
            </w:div>
            <w:div w:id="580607915">
              <w:marLeft w:val="0"/>
              <w:marRight w:val="0"/>
              <w:marTop w:val="0"/>
              <w:marBottom w:val="0"/>
              <w:divBdr>
                <w:top w:val="none" w:sz="0" w:space="0" w:color="auto"/>
                <w:left w:val="none" w:sz="0" w:space="0" w:color="auto"/>
                <w:bottom w:val="none" w:sz="0" w:space="0" w:color="auto"/>
                <w:right w:val="none" w:sz="0" w:space="0" w:color="auto"/>
              </w:divBdr>
            </w:div>
            <w:div w:id="1060400308">
              <w:marLeft w:val="0"/>
              <w:marRight w:val="0"/>
              <w:marTop w:val="0"/>
              <w:marBottom w:val="0"/>
              <w:divBdr>
                <w:top w:val="none" w:sz="0" w:space="0" w:color="auto"/>
                <w:left w:val="none" w:sz="0" w:space="0" w:color="auto"/>
                <w:bottom w:val="none" w:sz="0" w:space="0" w:color="auto"/>
                <w:right w:val="none" w:sz="0" w:space="0" w:color="auto"/>
              </w:divBdr>
            </w:div>
            <w:div w:id="1810396070">
              <w:marLeft w:val="0"/>
              <w:marRight w:val="0"/>
              <w:marTop w:val="0"/>
              <w:marBottom w:val="0"/>
              <w:divBdr>
                <w:top w:val="none" w:sz="0" w:space="0" w:color="auto"/>
                <w:left w:val="none" w:sz="0" w:space="0" w:color="auto"/>
                <w:bottom w:val="none" w:sz="0" w:space="0" w:color="auto"/>
                <w:right w:val="none" w:sz="0" w:space="0" w:color="auto"/>
              </w:divBdr>
            </w:div>
            <w:div w:id="1670938603">
              <w:blockQuote w:val="1"/>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o.org/cfs/accueil-du-hlpe/rapports/f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ccfd-terresolidaire.org/nos-partenaires/" TargetMode="External"/><Relationship Id="rId4" Type="http://schemas.openxmlformats.org/officeDocument/2006/relationships/footnotes" Target="footnotes.xml"/><Relationship Id="rId9" Type="http://schemas.openxmlformats.org/officeDocument/2006/relationships/hyperlink" Target="https://www.csm4cfs.o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557</Words>
  <Characters>3067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2023-01-25T16:39:00Z</dcterms:created>
  <dcterms:modified xsi:type="dcterms:W3CDTF">2023-01-25T16:52:00Z</dcterms:modified>
</cp:coreProperties>
</file>