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57" w:rsidRPr="005B3D57" w:rsidRDefault="005B3D57" w:rsidP="00D00663">
      <w:pPr>
        <w:shd w:val="clear" w:color="auto" w:fill="FFFFFF"/>
        <w:spacing w:after="100" w:afterAutospacing="1" w:line="240" w:lineRule="auto"/>
        <w:jc w:val="center"/>
        <w:outlineLvl w:val="0"/>
        <w:rPr>
          <w:rFonts w:ascii="Georgia" w:eastAsia="Times New Roman" w:hAnsi="Georgia" w:cs="Arial"/>
          <w:b/>
          <w:color w:val="1F2B50"/>
          <w:kern w:val="36"/>
          <w:sz w:val="44"/>
          <w:szCs w:val="24"/>
          <w:lang w:eastAsia="fr-FR"/>
        </w:rPr>
      </w:pPr>
      <w:r w:rsidRPr="00D00663">
        <w:rPr>
          <w:rFonts w:ascii="Georgia" w:eastAsia="Times New Roman" w:hAnsi="Georgia" w:cs="Arial"/>
          <w:b/>
          <w:color w:val="1F2B50"/>
          <w:kern w:val="36"/>
          <w:sz w:val="36"/>
          <w:szCs w:val="24"/>
          <w:lang w:eastAsia="fr-FR"/>
        </w:rPr>
        <w:t>La DGCCRF</w:t>
      </w:r>
    </w:p>
    <w:p w:rsidR="005B3D57" w:rsidRPr="005B3D57" w:rsidRDefault="005B3D57" w:rsidP="005B3D57">
      <w:pPr>
        <w:shd w:val="clear" w:color="auto" w:fill="FFFFFF"/>
        <w:spacing w:before="100" w:beforeAutospacing="1" w:after="100" w:afterAutospacing="1" w:line="240" w:lineRule="auto"/>
        <w:outlineLvl w:val="1"/>
        <w:rPr>
          <w:rFonts w:ascii="Georgia" w:eastAsia="Times New Roman" w:hAnsi="Georgia" w:cs="Arial"/>
          <w:color w:val="407CA8"/>
          <w:sz w:val="24"/>
          <w:szCs w:val="24"/>
          <w:lang w:eastAsia="fr-FR"/>
        </w:rPr>
      </w:pPr>
      <w:r w:rsidRPr="00D00663">
        <w:rPr>
          <w:rFonts w:ascii="Georgia" w:eastAsia="Times New Roman" w:hAnsi="Georgia" w:cs="Segoe UI"/>
          <w:b/>
          <w:bCs/>
          <w:color w:val="407CA8"/>
          <w:sz w:val="24"/>
          <w:szCs w:val="24"/>
          <w:lang w:eastAsia="fr-FR"/>
        </w:rPr>
        <w:t>Au sein du ministère chargé de l’Economie, la DGCCRF veille au bon fonctionnement des marchés, au bénéfice des consommateurs et des entreprises.</w:t>
      </w:r>
    </w:p>
    <w:p w:rsidR="005B3D57" w:rsidRPr="005B3D57" w:rsidRDefault="005B3D57" w:rsidP="005B3D57">
      <w:pPr>
        <w:shd w:val="clear" w:color="auto" w:fill="FFFFFF"/>
        <w:spacing w:after="100" w:afterAutospacing="1" w:line="240" w:lineRule="auto"/>
        <w:rPr>
          <w:rFonts w:ascii="Georgia" w:eastAsia="Times New Roman" w:hAnsi="Georgia" w:cs="Arial"/>
          <w:color w:val="3A3A3A"/>
          <w:sz w:val="24"/>
          <w:szCs w:val="24"/>
          <w:lang w:eastAsia="fr-FR"/>
        </w:rPr>
      </w:pPr>
      <w:r w:rsidRPr="00D00663">
        <w:rPr>
          <w:rFonts w:ascii="Georgia" w:eastAsia="Times New Roman" w:hAnsi="Georgia" w:cs="Segoe UI"/>
          <w:b/>
          <w:bCs/>
          <w:color w:val="3A3A3A"/>
          <w:sz w:val="24"/>
          <w:szCs w:val="24"/>
          <w:lang w:eastAsia="fr-FR"/>
        </w:rPr>
        <w:t>La DGCCRF agit en faveur :</w:t>
      </w:r>
    </w:p>
    <w:p w:rsidR="005B3D57" w:rsidRPr="005B3D57" w:rsidRDefault="005B3D57" w:rsidP="005B3D57">
      <w:pPr>
        <w:numPr>
          <w:ilvl w:val="0"/>
          <w:numId w:val="1"/>
        </w:numPr>
        <w:shd w:val="clear" w:color="auto" w:fill="FFFFFF"/>
        <w:spacing w:before="100" w:beforeAutospacing="1" w:after="100" w:afterAutospacing="1" w:line="240" w:lineRule="auto"/>
        <w:ind w:left="0"/>
        <w:rPr>
          <w:rFonts w:ascii="Georgia" w:eastAsia="Times New Roman" w:hAnsi="Georgia" w:cs="Arial"/>
          <w:color w:val="3A3A3A"/>
          <w:sz w:val="24"/>
          <w:szCs w:val="24"/>
          <w:lang w:eastAsia="fr-FR"/>
        </w:rPr>
      </w:pPr>
      <w:r w:rsidRPr="005B3D57">
        <w:rPr>
          <w:rFonts w:ascii="Georgia" w:eastAsia="Times New Roman" w:hAnsi="Georgia" w:cs="Arial"/>
          <w:color w:val="3A3A3A"/>
          <w:sz w:val="24"/>
          <w:szCs w:val="24"/>
          <w:lang w:eastAsia="fr-FR"/>
        </w:rPr>
        <w:t>du respect des règles de la concurrence ;</w:t>
      </w:r>
    </w:p>
    <w:p w:rsidR="005B3D57" w:rsidRPr="005B3D57" w:rsidRDefault="005B3D57" w:rsidP="005B3D57">
      <w:pPr>
        <w:numPr>
          <w:ilvl w:val="0"/>
          <w:numId w:val="1"/>
        </w:numPr>
        <w:shd w:val="clear" w:color="auto" w:fill="FFFFFF"/>
        <w:spacing w:before="100" w:beforeAutospacing="1" w:after="100" w:afterAutospacing="1" w:line="240" w:lineRule="auto"/>
        <w:ind w:left="0"/>
        <w:rPr>
          <w:rFonts w:ascii="Georgia" w:eastAsia="Times New Roman" w:hAnsi="Georgia" w:cs="Arial"/>
          <w:color w:val="3A3A3A"/>
          <w:sz w:val="24"/>
          <w:szCs w:val="24"/>
          <w:lang w:eastAsia="fr-FR"/>
        </w:rPr>
      </w:pPr>
      <w:r w:rsidRPr="005B3D57">
        <w:rPr>
          <w:rFonts w:ascii="Georgia" w:eastAsia="Times New Roman" w:hAnsi="Georgia" w:cs="Arial"/>
          <w:color w:val="3A3A3A"/>
          <w:sz w:val="24"/>
          <w:szCs w:val="24"/>
          <w:lang w:eastAsia="fr-FR"/>
        </w:rPr>
        <w:t>de la protection économique des consommateurs ;</w:t>
      </w:r>
    </w:p>
    <w:p w:rsidR="005B3D57" w:rsidRPr="005B3D57" w:rsidRDefault="005B3D57" w:rsidP="005B3D57">
      <w:pPr>
        <w:numPr>
          <w:ilvl w:val="0"/>
          <w:numId w:val="1"/>
        </w:numPr>
        <w:shd w:val="clear" w:color="auto" w:fill="FFFFFF"/>
        <w:spacing w:before="100" w:beforeAutospacing="1" w:after="100" w:afterAutospacing="1" w:line="240" w:lineRule="auto"/>
        <w:ind w:left="0"/>
        <w:rPr>
          <w:rFonts w:ascii="Georgia" w:eastAsia="Times New Roman" w:hAnsi="Georgia" w:cs="Arial"/>
          <w:color w:val="3A3A3A"/>
          <w:sz w:val="24"/>
          <w:szCs w:val="24"/>
          <w:lang w:eastAsia="fr-FR"/>
        </w:rPr>
      </w:pPr>
      <w:r w:rsidRPr="005B3D57">
        <w:rPr>
          <w:rFonts w:ascii="Georgia" w:eastAsia="Times New Roman" w:hAnsi="Georgia" w:cs="Arial"/>
          <w:color w:val="3A3A3A"/>
          <w:sz w:val="24"/>
          <w:szCs w:val="24"/>
          <w:lang w:eastAsia="fr-FR"/>
        </w:rPr>
        <w:t>de la sécurité et de la conformité des produits et des services.</w:t>
      </w:r>
    </w:p>
    <w:p w:rsidR="005B3D57" w:rsidRPr="005B3D57" w:rsidRDefault="005B3D57" w:rsidP="005B3D57">
      <w:pPr>
        <w:shd w:val="clear" w:color="auto" w:fill="FFFFFF"/>
        <w:spacing w:after="100" w:afterAutospacing="1" w:line="240" w:lineRule="auto"/>
        <w:rPr>
          <w:rFonts w:ascii="Georgia" w:eastAsia="Times New Roman" w:hAnsi="Georgia" w:cs="Arial"/>
          <w:color w:val="3A3A3A"/>
          <w:sz w:val="24"/>
          <w:szCs w:val="24"/>
          <w:lang w:eastAsia="fr-FR"/>
        </w:rPr>
      </w:pPr>
      <w:r w:rsidRPr="00D00663">
        <w:rPr>
          <w:rFonts w:ascii="Georgia" w:eastAsia="Times New Roman" w:hAnsi="Georgia" w:cs="Segoe UI"/>
          <w:b/>
          <w:bCs/>
          <w:color w:val="3A3A3A"/>
          <w:sz w:val="24"/>
          <w:szCs w:val="24"/>
          <w:lang w:eastAsia="fr-FR"/>
        </w:rPr>
        <w:t>Autorité de contrôle, elle intervient :</w:t>
      </w:r>
    </w:p>
    <w:p w:rsidR="005B3D57" w:rsidRPr="005B3D57" w:rsidRDefault="005B3D57" w:rsidP="005B3D57">
      <w:pPr>
        <w:numPr>
          <w:ilvl w:val="0"/>
          <w:numId w:val="2"/>
        </w:numPr>
        <w:shd w:val="clear" w:color="auto" w:fill="FFFFFF"/>
        <w:spacing w:before="100" w:beforeAutospacing="1" w:after="100" w:afterAutospacing="1" w:line="240" w:lineRule="auto"/>
        <w:ind w:left="0"/>
        <w:rPr>
          <w:rFonts w:ascii="Georgia" w:eastAsia="Times New Roman" w:hAnsi="Georgia" w:cs="Arial"/>
          <w:color w:val="3A3A3A"/>
          <w:sz w:val="24"/>
          <w:szCs w:val="24"/>
          <w:lang w:eastAsia="fr-FR"/>
        </w:rPr>
      </w:pPr>
      <w:r w:rsidRPr="005B3D57">
        <w:rPr>
          <w:rFonts w:ascii="Georgia" w:eastAsia="Times New Roman" w:hAnsi="Georgia" w:cs="Arial"/>
          <w:color w:val="3A3A3A"/>
          <w:sz w:val="24"/>
          <w:szCs w:val="24"/>
          <w:lang w:eastAsia="fr-FR"/>
        </w:rPr>
        <w:t>sur tous les champs de la consommation (produits alimentaires et non-alimentaires, services) ;</w:t>
      </w:r>
    </w:p>
    <w:p w:rsidR="005B3D57" w:rsidRPr="005B3D57" w:rsidRDefault="005B3D57" w:rsidP="005B3D57">
      <w:pPr>
        <w:numPr>
          <w:ilvl w:val="0"/>
          <w:numId w:val="2"/>
        </w:numPr>
        <w:shd w:val="clear" w:color="auto" w:fill="FFFFFF"/>
        <w:spacing w:before="100" w:beforeAutospacing="1" w:after="100" w:afterAutospacing="1" w:line="240" w:lineRule="auto"/>
        <w:ind w:left="0"/>
        <w:rPr>
          <w:rFonts w:ascii="Georgia" w:eastAsia="Times New Roman" w:hAnsi="Georgia" w:cs="Arial"/>
          <w:color w:val="3A3A3A"/>
          <w:sz w:val="24"/>
          <w:szCs w:val="24"/>
          <w:lang w:eastAsia="fr-FR"/>
        </w:rPr>
      </w:pPr>
      <w:r w:rsidRPr="005B3D57">
        <w:rPr>
          <w:rFonts w:ascii="Georgia" w:eastAsia="Times New Roman" w:hAnsi="Georgia" w:cs="Arial"/>
          <w:color w:val="3A3A3A"/>
          <w:sz w:val="24"/>
          <w:szCs w:val="24"/>
          <w:lang w:eastAsia="fr-FR"/>
        </w:rPr>
        <w:t>à tous les stades de l’activité économique (production, transformation, importation, distribution) ;</w:t>
      </w:r>
    </w:p>
    <w:p w:rsidR="005B3D57" w:rsidRPr="005B3D57" w:rsidRDefault="005B3D57" w:rsidP="005B3D57">
      <w:pPr>
        <w:numPr>
          <w:ilvl w:val="0"/>
          <w:numId w:val="2"/>
        </w:numPr>
        <w:shd w:val="clear" w:color="auto" w:fill="FFFFFF"/>
        <w:spacing w:before="100" w:beforeAutospacing="1" w:after="100" w:afterAutospacing="1" w:line="240" w:lineRule="auto"/>
        <w:ind w:left="0"/>
        <w:rPr>
          <w:rFonts w:ascii="Georgia" w:eastAsia="Times New Roman" w:hAnsi="Georgia" w:cs="Arial"/>
          <w:color w:val="3A3A3A"/>
          <w:sz w:val="24"/>
          <w:szCs w:val="24"/>
          <w:lang w:eastAsia="fr-FR"/>
        </w:rPr>
      </w:pPr>
      <w:r w:rsidRPr="005B3D57">
        <w:rPr>
          <w:rFonts w:ascii="Georgia" w:eastAsia="Times New Roman" w:hAnsi="Georgia" w:cs="Arial"/>
          <w:color w:val="3A3A3A"/>
          <w:sz w:val="24"/>
          <w:szCs w:val="24"/>
          <w:lang w:eastAsia="fr-FR"/>
        </w:rPr>
        <w:t>quelle que soit la forme de commerce : magasins, sites de commerce électronique ou liés à l'économie collaborative, etc.</w:t>
      </w:r>
    </w:p>
    <w:p w:rsidR="005B3D57" w:rsidRPr="00D00663" w:rsidRDefault="005B3D57" w:rsidP="005B3D57">
      <w:pPr>
        <w:pStyle w:val="Titre1"/>
        <w:shd w:val="clear" w:color="auto" w:fill="FFFFFF"/>
        <w:spacing w:before="0" w:beforeAutospacing="0"/>
        <w:rPr>
          <w:rFonts w:ascii="Georgia" w:hAnsi="Georgia" w:cs="Arial"/>
          <w:bCs w:val="0"/>
          <w:color w:val="1F2B50"/>
          <w:sz w:val="32"/>
          <w:szCs w:val="24"/>
        </w:rPr>
      </w:pPr>
      <w:r w:rsidRPr="00D00663">
        <w:rPr>
          <w:rStyle w:val="field"/>
          <w:rFonts w:ascii="Georgia" w:hAnsi="Georgia" w:cs="Arial"/>
          <w:bCs w:val="0"/>
          <w:color w:val="1F2B50"/>
          <w:sz w:val="32"/>
          <w:szCs w:val="24"/>
        </w:rPr>
        <w:t>Missions de la DGCCRF</w:t>
      </w:r>
    </w:p>
    <w:p w:rsidR="005B3D57" w:rsidRPr="00D00663" w:rsidRDefault="005B3D57" w:rsidP="005B3D57">
      <w:pPr>
        <w:pStyle w:val="Titre2"/>
        <w:shd w:val="clear" w:color="auto" w:fill="FFFFFF"/>
        <w:rPr>
          <w:rFonts w:ascii="Georgia" w:hAnsi="Georgia" w:cs="Arial"/>
          <w:b w:val="0"/>
          <w:bCs w:val="0"/>
          <w:sz w:val="28"/>
          <w:szCs w:val="24"/>
        </w:rPr>
      </w:pPr>
      <w:r w:rsidRPr="00D00663">
        <w:rPr>
          <w:rFonts w:ascii="Georgia" w:hAnsi="Georgia" w:cs="Arial"/>
          <w:b w:val="0"/>
          <w:bCs w:val="0"/>
          <w:sz w:val="28"/>
          <w:szCs w:val="24"/>
        </w:rPr>
        <w:t xml:space="preserve">Ses missions se déclinent en </w:t>
      </w:r>
      <w:r w:rsidRPr="00D00663">
        <w:rPr>
          <w:rFonts w:ascii="Georgia" w:hAnsi="Georgia" w:cs="Arial"/>
          <w:bCs w:val="0"/>
          <w:sz w:val="28"/>
          <w:szCs w:val="24"/>
        </w:rPr>
        <w:t>trois volets</w:t>
      </w:r>
      <w:r w:rsidRPr="00D00663">
        <w:rPr>
          <w:rFonts w:ascii="Georgia" w:hAnsi="Georgia" w:cs="Arial"/>
          <w:b w:val="0"/>
          <w:bCs w:val="0"/>
          <w:sz w:val="28"/>
          <w:szCs w:val="24"/>
        </w:rPr>
        <w:t> :  </w:t>
      </w:r>
    </w:p>
    <w:p w:rsidR="005B3D57" w:rsidRPr="00D00663" w:rsidRDefault="005B3D57" w:rsidP="00D00663">
      <w:pPr>
        <w:pStyle w:val="Titre3"/>
        <w:numPr>
          <w:ilvl w:val="1"/>
          <w:numId w:val="1"/>
        </w:numPr>
        <w:shd w:val="clear" w:color="auto" w:fill="FFFFFF"/>
        <w:spacing w:before="0"/>
        <w:rPr>
          <w:rFonts w:ascii="Georgia" w:hAnsi="Georgia" w:cs="Segoe UI"/>
          <w:color w:val="auto"/>
          <w:sz w:val="28"/>
          <w:szCs w:val="24"/>
        </w:rPr>
      </w:pPr>
      <w:r w:rsidRPr="00D00663">
        <w:rPr>
          <w:rFonts w:ascii="Georgia" w:hAnsi="Georgia" w:cs="Segoe UI"/>
          <w:color w:val="auto"/>
          <w:sz w:val="28"/>
          <w:szCs w:val="24"/>
          <w:highlight w:val="yellow"/>
        </w:rPr>
        <w:t>La régulation concurrentielle des marchés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Style w:val="lev"/>
          <w:rFonts w:ascii="Georgia" w:eastAsiaTheme="majorEastAsia" w:hAnsi="Georgia" w:cs="Segoe UI"/>
          <w:color w:val="3A3A3A"/>
        </w:rPr>
        <w:t>Garantir les conditions d'un fonctionnement équilibré et transparent des marchés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La DGCCRF agit par :</w:t>
      </w:r>
    </w:p>
    <w:p w:rsidR="005B3D57" w:rsidRPr="00D00663" w:rsidRDefault="00C0736F" w:rsidP="005B3D57">
      <w:pPr>
        <w:numPr>
          <w:ilvl w:val="0"/>
          <w:numId w:val="3"/>
        </w:numPr>
        <w:shd w:val="clear" w:color="auto" w:fill="FFFFFF"/>
        <w:spacing w:before="100" w:beforeAutospacing="1" w:after="100" w:afterAutospacing="1" w:line="240" w:lineRule="auto"/>
        <w:ind w:left="0"/>
        <w:rPr>
          <w:rFonts w:ascii="Georgia" w:hAnsi="Georgia" w:cs="Arial"/>
          <w:color w:val="3A3A3A"/>
          <w:sz w:val="24"/>
          <w:szCs w:val="24"/>
        </w:rPr>
      </w:pPr>
      <w:hyperlink r:id="rId7" w:history="1">
        <w:r w:rsidR="005B3D57" w:rsidRPr="00D00663">
          <w:rPr>
            <w:rStyle w:val="Lienhypertexte"/>
            <w:rFonts w:ascii="Georgia" w:hAnsi="Georgia" w:cs="Arial"/>
            <w:color w:val="126F7F"/>
            <w:sz w:val="24"/>
            <w:szCs w:val="24"/>
          </w:rPr>
          <w:t>la lutte contre les ententes et les abus de position dominante</w:t>
        </w:r>
      </w:hyperlink>
      <w:r w:rsidR="005B3D57" w:rsidRPr="00D00663">
        <w:rPr>
          <w:rFonts w:ascii="Georgia" w:hAnsi="Georgia" w:cs="Arial"/>
          <w:color w:val="3A3A3A"/>
          <w:sz w:val="24"/>
          <w:szCs w:val="24"/>
        </w:rPr>
        <w:t> (la DGCCRF peut saisir l'Autorité de la concurrence),</w:t>
      </w:r>
    </w:p>
    <w:p w:rsidR="005B3D57" w:rsidRPr="00D00663" w:rsidRDefault="00C0736F" w:rsidP="005B3D57">
      <w:pPr>
        <w:numPr>
          <w:ilvl w:val="0"/>
          <w:numId w:val="3"/>
        </w:numPr>
        <w:shd w:val="clear" w:color="auto" w:fill="FFFFFF"/>
        <w:spacing w:before="100" w:beforeAutospacing="1" w:after="100" w:afterAutospacing="1" w:line="240" w:lineRule="auto"/>
        <w:ind w:left="0"/>
        <w:rPr>
          <w:rFonts w:ascii="Georgia" w:hAnsi="Georgia" w:cs="Arial"/>
          <w:color w:val="3A3A3A"/>
          <w:sz w:val="24"/>
          <w:szCs w:val="24"/>
        </w:rPr>
      </w:pPr>
      <w:hyperlink r:id="rId8" w:history="1">
        <w:r w:rsidR="005B3D57" w:rsidRPr="00D00663">
          <w:rPr>
            <w:rStyle w:val="Lienhypertexte"/>
            <w:rFonts w:ascii="Georgia" w:hAnsi="Georgia" w:cs="Arial"/>
            <w:color w:val="126F7F"/>
            <w:sz w:val="24"/>
            <w:szCs w:val="24"/>
          </w:rPr>
          <w:t>la modernisation des règles de fonctionnement des marchés</w:t>
        </w:r>
      </w:hyperlink>
      <w:r w:rsidR="005B3D57" w:rsidRPr="00D00663">
        <w:rPr>
          <w:rFonts w:ascii="Georgia" w:hAnsi="Georgia" w:cs="Arial"/>
          <w:color w:val="3A3A3A"/>
          <w:sz w:val="24"/>
          <w:szCs w:val="24"/>
        </w:rPr>
        <w:t> afin  de  garantir  l'existence  de structures  concurrentielles  dans  le  tissu  économique,</w:t>
      </w:r>
    </w:p>
    <w:p w:rsidR="005B3D57" w:rsidRPr="00D00663" w:rsidRDefault="00C0736F" w:rsidP="005B3D57">
      <w:pPr>
        <w:numPr>
          <w:ilvl w:val="0"/>
          <w:numId w:val="3"/>
        </w:numPr>
        <w:shd w:val="clear" w:color="auto" w:fill="FFFFFF"/>
        <w:spacing w:before="100" w:beforeAutospacing="1" w:after="100" w:afterAutospacing="1" w:line="240" w:lineRule="auto"/>
        <w:ind w:left="0"/>
        <w:rPr>
          <w:rFonts w:ascii="Georgia" w:hAnsi="Georgia" w:cs="Arial"/>
          <w:color w:val="3A3A3A"/>
          <w:sz w:val="24"/>
          <w:szCs w:val="24"/>
        </w:rPr>
      </w:pPr>
      <w:hyperlink r:id="rId9" w:history="1">
        <w:r w:rsidR="005B3D57" w:rsidRPr="00D00663">
          <w:rPr>
            <w:rStyle w:val="Lienhypertexte"/>
            <w:rFonts w:ascii="Georgia" w:hAnsi="Georgia" w:cs="Arial"/>
            <w:color w:val="126F7F"/>
            <w:sz w:val="24"/>
            <w:szCs w:val="24"/>
          </w:rPr>
          <w:t>la lutte contre les pratiques commerciales déloyales</w:t>
        </w:r>
      </w:hyperlink>
      <w:r w:rsidR="005B3D57" w:rsidRPr="00D00663">
        <w:rPr>
          <w:rFonts w:ascii="Georgia" w:hAnsi="Georgia" w:cs="Arial"/>
          <w:color w:val="3A3A3A"/>
          <w:sz w:val="24"/>
          <w:szCs w:val="24"/>
        </w:rPr>
        <w:t> pour  assurer  notamment  la  loyauté  des  relations  entre  les fournisseurs et les distributeurs,</w:t>
      </w:r>
    </w:p>
    <w:p w:rsidR="005B3D57" w:rsidRPr="00D00663" w:rsidRDefault="00C0736F" w:rsidP="005B3D57">
      <w:pPr>
        <w:numPr>
          <w:ilvl w:val="0"/>
          <w:numId w:val="3"/>
        </w:numPr>
        <w:shd w:val="clear" w:color="auto" w:fill="FFFFFF"/>
        <w:spacing w:before="100" w:beforeAutospacing="1" w:after="100" w:afterAutospacing="1" w:line="240" w:lineRule="auto"/>
        <w:ind w:left="0"/>
        <w:rPr>
          <w:rFonts w:ascii="Georgia" w:hAnsi="Georgia" w:cs="Arial"/>
          <w:color w:val="3A3A3A"/>
          <w:sz w:val="24"/>
          <w:szCs w:val="24"/>
        </w:rPr>
      </w:pPr>
      <w:hyperlink r:id="rId10" w:history="1">
        <w:r w:rsidR="005B3D57" w:rsidRPr="00D00663">
          <w:rPr>
            <w:rStyle w:val="Lienhypertexte"/>
            <w:rFonts w:ascii="Georgia" w:hAnsi="Georgia" w:cs="Arial"/>
            <w:color w:val="126F7F"/>
            <w:sz w:val="24"/>
            <w:szCs w:val="24"/>
          </w:rPr>
          <w:t>l'examen de la situation de la commande publique</w:t>
        </w:r>
      </w:hyperlink>
      <w:r w:rsidR="005B3D57" w:rsidRPr="00D00663">
        <w:rPr>
          <w:rFonts w:ascii="Georgia" w:hAnsi="Georgia" w:cs="Arial"/>
          <w:color w:val="3A3A3A"/>
          <w:sz w:val="24"/>
          <w:szCs w:val="24"/>
        </w:rPr>
        <w:t> pour en assurer l'accès équitable et transparent.</w:t>
      </w:r>
    </w:p>
    <w:p w:rsidR="005B3D57" w:rsidRDefault="005B3D57" w:rsidP="005B3D57">
      <w:pPr>
        <w:pStyle w:val="NormalWeb"/>
        <w:shd w:val="clear" w:color="auto" w:fill="FFFFFF"/>
        <w:spacing w:before="0" w:beforeAutospacing="0"/>
        <w:rPr>
          <w:rFonts w:ascii="Georgia" w:hAnsi="Georgia" w:cs="Arial"/>
          <w:color w:val="3A3A3A"/>
        </w:rPr>
      </w:pPr>
    </w:p>
    <w:p w:rsidR="00D00663" w:rsidRDefault="00D00663" w:rsidP="005B3D57">
      <w:pPr>
        <w:pStyle w:val="NormalWeb"/>
        <w:shd w:val="clear" w:color="auto" w:fill="FFFFFF"/>
        <w:spacing w:before="0" w:beforeAutospacing="0"/>
        <w:rPr>
          <w:rFonts w:ascii="Georgia" w:hAnsi="Georgia" w:cs="Arial"/>
          <w:color w:val="3A3A3A"/>
        </w:rPr>
      </w:pPr>
    </w:p>
    <w:p w:rsidR="00D00663" w:rsidRDefault="00D00663" w:rsidP="005B3D57">
      <w:pPr>
        <w:pStyle w:val="NormalWeb"/>
        <w:shd w:val="clear" w:color="auto" w:fill="FFFFFF"/>
        <w:spacing w:before="0" w:beforeAutospacing="0"/>
        <w:rPr>
          <w:rFonts w:ascii="Georgia" w:hAnsi="Georgia" w:cs="Arial"/>
          <w:color w:val="3A3A3A"/>
        </w:rPr>
      </w:pPr>
    </w:p>
    <w:p w:rsidR="00D00663" w:rsidRPr="00D00663" w:rsidRDefault="00D00663" w:rsidP="005B3D57">
      <w:pPr>
        <w:pStyle w:val="NormalWeb"/>
        <w:shd w:val="clear" w:color="auto" w:fill="FFFFFF"/>
        <w:spacing w:before="0" w:beforeAutospacing="0"/>
        <w:rPr>
          <w:rFonts w:ascii="Georgia" w:hAnsi="Georgia" w:cs="Arial"/>
          <w:color w:val="3A3A3A"/>
        </w:rPr>
      </w:pPr>
    </w:p>
    <w:p w:rsidR="00D00663" w:rsidRDefault="00D00663" w:rsidP="005B3D57">
      <w:pPr>
        <w:pStyle w:val="Titre3"/>
        <w:shd w:val="clear" w:color="auto" w:fill="FFFFFF"/>
        <w:spacing w:before="0"/>
        <w:rPr>
          <w:rFonts w:ascii="Georgia" w:hAnsi="Georgia" w:cs="Segoe UI"/>
          <w:color w:val="auto"/>
          <w:sz w:val="24"/>
          <w:szCs w:val="24"/>
          <w:highlight w:val="yellow"/>
        </w:rPr>
      </w:pPr>
    </w:p>
    <w:p w:rsidR="005B3D57" w:rsidRPr="00D00663" w:rsidRDefault="005B3D57" w:rsidP="00D00663">
      <w:pPr>
        <w:pStyle w:val="Titre3"/>
        <w:numPr>
          <w:ilvl w:val="1"/>
          <w:numId w:val="1"/>
        </w:numPr>
        <w:shd w:val="clear" w:color="auto" w:fill="FFFFFF"/>
        <w:spacing w:before="0"/>
        <w:rPr>
          <w:rFonts w:ascii="Georgia" w:hAnsi="Georgia" w:cs="Segoe UI"/>
          <w:b w:val="0"/>
          <w:color w:val="auto"/>
          <w:sz w:val="24"/>
          <w:szCs w:val="24"/>
        </w:rPr>
      </w:pPr>
      <w:r w:rsidRPr="00D00663">
        <w:rPr>
          <w:rFonts w:ascii="Georgia" w:hAnsi="Georgia" w:cs="Segoe UI"/>
          <w:color w:val="auto"/>
          <w:sz w:val="24"/>
          <w:szCs w:val="24"/>
          <w:highlight w:val="yellow"/>
        </w:rPr>
        <w:t>La protection économique des consommateurs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Style w:val="lev"/>
          <w:rFonts w:ascii="Georgia" w:eastAsiaTheme="majorEastAsia" w:hAnsi="Georgia" w:cs="Segoe UI"/>
          <w:color w:val="3A3A3A"/>
        </w:rPr>
        <w:t>Informer de façon loyale les consommateurs et  contribuer ainsi  à donner  confiance dans  l'acte  d'achat</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La DGCCRF veille à assurer la qualité que les consommateurs sont en droit d'attendre d'un produit – alimentaire ou non-alimentaire – ou d'un service (règles d'étiquetage, de composition et de dénomination des marchandises, contrôle des falsifications et tromperies).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Elle recherche et constate les infractions et manquements aux règles de protection des consommateurs (publicités mensongères, faux rabais, abus de faiblesse...) et vérifie la bonne application des règles de publicité des prix.</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D'autres moyens sont mis en œuvre pour renforcer la protection économique des consommateurs : la concertation (notamment au sein du Conseil national de la consommation), l'information sur Internet, les publications de la Direction générale, l'accueil du public dans les directions territoriales.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Il entre également dans les compétences de la DGCCRF d'exercer un rôle de veille sur les prix lorsque ceux- ci connaissent ou sont susceptibles de connaître des variations inhabituelles, du fait de décisions des pouvoirs publics ou d'évènements qui peuvent avoir des répercussions sur les prix (mise en place d'observatoires de suivi des prix).</w:t>
      </w:r>
    </w:p>
    <w:p w:rsidR="00D00663" w:rsidRDefault="00D00663" w:rsidP="00D00663">
      <w:pPr>
        <w:pStyle w:val="Titre3"/>
        <w:shd w:val="clear" w:color="auto" w:fill="FFFFFF"/>
        <w:spacing w:before="0"/>
        <w:rPr>
          <w:rFonts w:ascii="Georgia" w:hAnsi="Georgia" w:cs="Segoe UI"/>
          <w:color w:val="auto"/>
          <w:sz w:val="28"/>
          <w:szCs w:val="24"/>
          <w:highlight w:val="yellow"/>
        </w:rPr>
      </w:pPr>
      <w:r w:rsidRPr="00D00663">
        <w:rPr>
          <w:rFonts w:ascii="Georgia" w:hAnsi="Georgia" w:cs="Segoe UI"/>
          <w:color w:val="auto"/>
          <w:sz w:val="28"/>
          <w:szCs w:val="24"/>
          <w:highlight w:val="yellow"/>
        </w:rPr>
        <w:t xml:space="preserve"> </w:t>
      </w:r>
    </w:p>
    <w:p w:rsidR="00D00663" w:rsidRPr="00D00663" w:rsidRDefault="00D00663" w:rsidP="00D00663">
      <w:pPr>
        <w:pStyle w:val="Titre3"/>
        <w:numPr>
          <w:ilvl w:val="1"/>
          <w:numId w:val="1"/>
        </w:numPr>
        <w:shd w:val="clear" w:color="auto" w:fill="FFFFFF"/>
        <w:spacing w:before="0"/>
        <w:rPr>
          <w:rFonts w:ascii="Georgia" w:hAnsi="Georgia" w:cs="Segoe UI"/>
          <w:color w:val="auto"/>
          <w:sz w:val="28"/>
          <w:szCs w:val="24"/>
        </w:rPr>
      </w:pPr>
      <w:r w:rsidRPr="00D00663">
        <w:rPr>
          <w:rFonts w:ascii="Georgia" w:hAnsi="Georgia" w:cs="Segoe UI"/>
          <w:color w:val="auto"/>
          <w:sz w:val="28"/>
          <w:szCs w:val="24"/>
          <w:highlight w:val="yellow"/>
        </w:rPr>
        <w:t>La sécurité des consommateurs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Style w:val="lev"/>
          <w:rFonts w:ascii="Georgia" w:eastAsiaTheme="majorEastAsia" w:hAnsi="Georgia" w:cs="Segoe UI"/>
          <w:color w:val="3A3A3A"/>
        </w:rPr>
        <w:t>Préserver la sécurité des consommateurs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La DGCCRF intervient sur tous les produits, alimentaires et industriels et à tous les niveaux (production, importation, distribution) ainsi que sur les services.</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Elle suit au niveau européen les indices de dangerosité des produits qui lui sont communiqués par les États membres de l'Union européenne.</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Les actions sont renforcées dans les domaines à risque comme les résidus de pesticides dans les aliments d'origine végétale, les jouets et articles de puériculture, les activités sportives et de loisir, les accidents de la vie courante.</w:t>
      </w:r>
    </w:p>
    <w:p w:rsidR="005B3D57" w:rsidRPr="00D00663" w:rsidRDefault="005B3D57" w:rsidP="005B3D57">
      <w:pPr>
        <w:pStyle w:val="NormalWeb"/>
        <w:shd w:val="clear" w:color="auto" w:fill="FFFFFF"/>
        <w:spacing w:before="0" w:beforeAutospacing="0"/>
        <w:rPr>
          <w:rFonts w:ascii="Georgia" w:hAnsi="Georgia" w:cs="Arial"/>
          <w:color w:val="3A3A3A"/>
        </w:rPr>
      </w:pPr>
      <w:r w:rsidRPr="00D00663">
        <w:rPr>
          <w:rFonts w:ascii="Georgia" w:hAnsi="Georgia" w:cs="Arial"/>
          <w:color w:val="3A3A3A"/>
        </w:rPr>
        <w:t>La plupart des actions en matière de sécurité s'appuient sur l'expertise de laboratoires (Service Commun des laboratoires de la DGCCRF et de la Douane).</w:t>
      </w:r>
    </w:p>
    <w:p w:rsidR="005B3D57" w:rsidRPr="00D00663" w:rsidRDefault="005B3D57" w:rsidP="005B3D57">
      <w:pPr>
        <w:pStyle w:val="field1"/>
        <w:shd w:val="clear" w:color="auto" w:fill="338899"/>
        <w:rPr>
          <w:rFonts w:ascii="Georgia" w:hAnsi="Georgia" w:cs="Arial"/>
          <w:color w:val="FFFFFF"/>
        </w:rPr>
      </w:pPr>
      <w:r w:rsidRPr="00D00663">
        <w:rPr>
          <w:rFonts w:ascii="Georgia" w:hAnsi="Georgia" w:cs="Arial"/>
          <w:color w:val="FFFFFF"/>
        </w:rPr>
        <w:t>La coopération internationale</w:t>
      </w:r>
    </w:p>
    <w:p w:rsidR="005B3D57" w:rsidRPr="00D00663" w:rsidRDefault="005B3D57" w:rsidP="005B3D57">
      <w:pPr>
        <w:pStyle w:val="NormalWeb"/>
        <w:shd w:val="clear" w:color="auto" w:fill="338899"/>
        <w:spacing w:before="0" w:beforeAutospacing="0"/>
        <w:rPr>
          <w:rFonts w:ascii="Georgia" w:hAnsi="Georgia" w:cs="Arial"/>
          <w:color w:val="FFFFFF"/>
        </w:rPr>
      </w:pPr>
      <w:r w:rsidRPr="00D00663">
        <w:rPr>
          <w:rFonts w:ascii="Georgia" w:hAnsi="Georgia" w:cs="Arial"/>
          <w:color w:val="FFFFFF"/>
        </w:rPr>
        <w:t>La DGCCRF contribue par son expertise économique et technique au développement des politiques liées à la concurrence et à la consommation, dans le cadre d’actions de coopération internationale.</w:t>
      </w:r>
    </w:p>
    <w:p w:rsidR="005B3D57" w:rsidRPr="00D00663" w:rsidRDefault="00C0736F" w:rsidP="005B3D57">
      <w:pPr>
        <w:pStyle w:val="NormalWeb"/>
        <w:shd w:val="clear" w:color="auto" w:fill="338899"/>
        <w:spacing w:before="0" w:beforeAutospacing="0"/>
        <w:rPr>
          <w:rFonts w:ascii="Georgia" w:hAnsi="Georgia" w:cs="Arial"/>
          <w:color w:val="FFFFFF"/>
        </w:rPr>
      </w:pPr>
      <w:hyperlink r:id="rId11" w:history="1">
        <w:r w:rsidR="005B3D57" w:rsidRPr="00D00663">
          <w:rPr>
            <w:rStyle w:val="Lienhypertexte"/>
            <w:rFonts w:ascii="Georgia" w:hAnsi="Georgia" w:cs="Segoe UI"/>
            <w:b/>
            <w:bCs/>
            <w:color w:val="FFFFFF"/>
          </w:rPr>
          <w:t>La coopération internationale à la DGCCRF</w:t>
        </w:r>
      </w:hyperlink>
    </w:p>
    <w:sectPr w:rsidR="005B3D57" w:rsidRPr="00D00663" w:rsidSect="00CE1DA0">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AF3" w:rsidRDefault="00502AF3" w:rsidP="00D00663">
      <w:pPr>
        <w:spacing w:after="0" w:line="240" w:lineRule="auto"/>
      </w:pPr>
      <w:r>
        <w:separator/>
      </w:r>
    </w:p>
  </w:endnote>
  <w:endnote w:type="continuationSeparator" w:id="1">
    <w:p w:rsidR="00502AF3" w:rsidRDefault="00502AF3" w:rsidP="00D00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D00663">
      <w:tc>
        <w:tcPr>
          <w:tcW w:w="918" w:type="dxa"/>
        </w:tcPr>
        <w:p w:rsidR="00D00663" w:rsidRDefault="00C0736F">
          <w:pPr>
            <w:pStyle w:val="Pieddepage"/>
            <w:jc w:val="right"/>
            <w:rPr>
              <w:b/>
              <w:color w:val="4F81BD" w:themeColor="accent1"/>
              <w:sz w:val="32"/>
              <w:szCs w:val="32"/>
            </w:rPr>
          </w:pPr>
          <w:fldSimple w:instr=" PAGE   \* MERGEFORMAT ">
            <w:r w:rsidR="00386AA4" w:rsidRPr="00386AA4">
              <w:rPr>
                <w:b/>
                <w:noProof/>
                <w:color w:val="4F81BD" w:themeColor="accent1"/>
                <w:sz w:val="32"/>
                <w:szCs w:val="32"/>
              </w:rPr>
              <w:t>1</w:t>
            </w:r>
          </w:fldSimple>
        </w:p>
      </w:tc>
      <w:tc>
        <w:tcPr>
          <w:tcW w:w="7938" w:type="dxa"/>
        </w:tcPr>
        <w:p w:rsidR="00D00663" w:rsidRPr="0053267D" w:rsidRDefault="0053267D" w:rsidP="0053267D">
          <w:pPr>
            <w:pStyle w:val="Pieddepage"/>
            <w:rPr>
              <w:rFonts w:ascii="Georgia" w:hAnsi="Georgia"/>
            </w:rPr>
          </w:pPr>
          <w:r w:rsidRPr="0053267D">
            <w:rPr>
              <w:rFonts w:ascii="Georgia" w:hAnsi="Georgia"/>
            </w:rPr>
            <w:t xml:space="preserve">Fiche </w:t>
          </w:r>
          <w:r>
            <w:rPr>
              <w:rFonts w:ascii="Georgia" w:hAnsi="Georgia"/>
            </w:rPr>
            <w:t xml:space="preserve">DGCCRF - </w:t>
          </w:r>
          <w:hyperlink r:id="rId1" w:history="1">
            <w:r w:rsidR="00D00663" w:rsidRPr="0053267D">
              <w:rPr>
                <w:rFonts w:ascii="Georgia" w:hAnsi="Georgia"/>
              </w:rPr>
              <w:t>Direction générale de la concurrence, de la consommation et de la répression des fraudes</w:t>
            </w:r>
          </w:hyperlink>
          <w:r>
            <w:rPr>
              <w:rFonts w:ascii="Georgia" w:hAnsi="Georgia"/>
            </w:rPr>
            <w:t xml:space="preserve"> - Collectif Alimentation - Janv 2023</w:t>
          </w:r>
        </w:p>
      </w:tc>
    </w:tr>
  </w:tbl>
  <w:p w:rsidR="00D00663" w:rsidRDefault="00D006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AF3" w:rsidRDefault="00502AF3" w:rsidP="00D00663">
      <w:pPr>
        <w:spacing w:after="0" w:line="240" w:lineRule="auto"/>
      </w:pPr>
      <w:r>
        <w:separator/>
      </w:r>
    </w:p>
  </w:footnote>
  <w:footnote w:type="continuationSeparator" w:id="1">
    <w:p w:rsidR="00502AF3" w:rsidRDefault="00502AF3" w:rsidP="00D00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017C"/>
    <w:multiLevelType w:val="multilevel"/>
    <w:tmpl w:val="21E6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D6BBD"/>
    <w:multiLevelType w:val="multilevel"/>
    <w:tmpl w:val="FF30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D6F36"/>
    <w:multiLevelType w:val="multilevel"/>
    <w:tmpl w:val="EE6E9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B3D57"/>
    <w:rsid w:val="000C4E7A"/>
    <w:rsid w:val="002C5651"/>
    <w:rsid w:val="00386AA4"/>
    <w:rsid w:val="00502AF3"/>
    <w:rsid w:val="0053267D"/>
    <w:rsid w:val="005B3D57"/>
    <w:rsid w:val="005F0E34"/>
    <w:rsid w:val="00880C9A"/>
    <w:rsid w:val="00B37480"/>
    <w:rsid w:val="00C0736F"/>
    <w:rsid w:val="00C41113"/>
    <w:rsid w:val="00CE1DA0"/>
    <w:rsid w:val="00D00663"/>
    <w:rsid w:val="00D65D15"/>
    <w:rsid w:val="00E4599D"/>
    <w:rsid w:val="00EF60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A0"/>
  </w:style>
  <w:style w:type="paragraph" w:styleId="Titre1">
    <w:name w:val="heading 1"/>
    <w:basedOn w:val="Normal"/>
    <w:link w:val="Titre1Car"/>
    <w:uiPriority w:val="9"/>
    <w:qFormat/>
    <w:rsid w:val="005B3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B3D5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5B3D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3D5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B3D57"/>
    <w:rPr>
      <w:rFonts w:ascii="Times New Roman" w:eastAsia="Times New Roman" w:hAnsi="Times New Roman" w:cs="Times New Roman"/>
      <w:b/>
      <w:bCs/>
      <w:sz w:val="36"/>
      <w:szCs w:val="36"/>
      <w:lang w:eastAsia="fr-FR"/>
    </w:rPr>
  </w:style>
  <w:style w:type="character" w:customStyle="1" w:styleId="field">
    <w:name w:val="field"/>
    <w:basedOn w:val="Policepardfaut"/>
    <w:rsid w:val="005B3D57"/>
  </w:style>
  <w:style w:type="character" w:styleId="lev">
    <w:name w:val="Strong"/>
    <w:basedOn w:val="Policepardfaut"/>
    <w:uiPriority w:val="22"/>
    <w:qFormat/>
    <w:rsid w:val="005B3D57"/>
    <w:rPr>
      <w:b/>
      <w:bCs/>
    </w:rPr>
  </w:style>
  <w:style w:type="paragraph" w:styleId="NormalWeb">
    <w:name w:val="Normal (Web)"/>
    <w:basedOn w:val="Normal"/>
    <w:uiPriority w:val="99"/>
    <w:semiHidden/>
    <w:unhideWhenUsed/>
    <w:rsid w:val="005B3D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5B3D57"/>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5B3D57"/>
    <w:rPr>
      <w:color w:val="0000FF"/>
      <w:u w:val="single"/>
    </w:rPr>
  </w:style>
  <w:style w:type="paragraph" w:customStyle="1" w:styleId="field1">
    <w:name w:val="field1"/>
    <w:basedOn w:val="Normal"/>
    <w:rsid w:val="005B3D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B3D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D57"/>
    <w:rPr>
      <w:rFonts w:ascii="Tahoma" w:hAnsi="Tahoma" w:cs="Tahoma"/>
      <w:sz w:val="16"/>
      <w:szCs w:val="16"/>
    </w:rPr>
  </w:style>
  <w:style w:type="paragraph" w:styleId="En-tte">
    <w:name w:val="header"/>
    <w:basedOn w:val="Normal"/>
    <w:link w:val="En-tteCar"/>
    <w:uiPriority w:val="99"/>
    <w:semiHidden/>
    <w:unhideWhenUsed/>
    <w:rsid w:val="00D006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00663"/>
  </w:style>
  <w:style w:type="paragraph" w:styleId="Pieddepage">
    <w:name w:val="footer"/>
    <w:basedOn w:val="Normal"/>
    <w:link w:val="PieddepageCar"/>
    <w:uiPriority w:val="99"/>
    <w:unhideWhenUsed/>
    <w:rsid w:val="00D006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0663"/>
  </w:style>
</w:styles>
</file>

<file path=word/webSettings.xml><?xml version="1.0" encoding="utf-8"?>
<w:webSettings xmlns:r="http://schemas.openxmlformats.org/officeDocument/2006/relationships" xmlns:w="http://schemas.openxmlformats.org/wordprocessingml/2006/main">
  <w:divs>
    <w:div w:id="71201813">
      <w:bodyDiv w:val="1"/>
      <w:marLeft w:val="0"/>
      <w:marRight w:val="0"/>
      <w:marTop w:val="0"/>
      <w:marBottom w:val="0"/>
      <w:divBdr>
        <w:top w:val="none" w:sz="0" w:space="0" w:color="auto"/>
        <w:left w:val="none" w:sz="0" w:space="0" w:color="auto"/>
        <w:bottom w:val="none" w:sz="0" w:space="0" w:color="auto"/>
        <w:right w:val="none" w:sz="0" w:space="0" w:color="auto"/>
      </w:divBdr>
      <w:divsChild>
        <w:div w:id="1158959753">
          <w:marLeft w:val="0"/>
          <w:marRight w:val="0"/>
          <w:marTop w:val="0"/>
          <w:marBottom w:val="0"/>
          <w:divBdr>
            <w:top w:val="none" w:sz="0" w:space="0" w:color="auto"/>
            <w:left w:val="none" w:sz="0" w:space="0" w:color="auto"/>
            <w:bottom w:val="none" w:sz="0" w:space="0" w:color="auto"/>
            <w:right w:val="none" w:sz="0" w:space="0" w:color="auto"/>
          </w:divBdr>
          <w:divsChild>
            <w:div w:id="1245528123">
              <w:marLeft w:val="0"/>
              <w:marRight w:val="0"/>
              <w:marTop w:val="0"/>
              <w:marBottom w:val="0"/>
              <w:divBdr>
                <w:top w:val="none" w:sz="0" w:space="0" w:color="auto"/>
                <w:left w:val="none" w:sz="0" w:space="0" w:color="auto"/>
                <w:bottom w:val="none" w:sz="0" w:space="0" w:color="auto"/>
                <w:right w:val="none" w:sz="0" w:space="0" w:color="auto"/>
              </w:divBdr>
              <w:divsChild>
                <w:div w:id="1672946862">
                  <w:marLeft w:val="0"/>
                  <w:marRight w:val="0"/>
                  <w:marTop w:val="0"/>
                  <w:marBottom w:val="0"/>
                  <w:divBdr>
                    <w:top w:val="none" w:sz="0" w:space="0" w:color="auto"/>
                    <w:left w:val="none" w:sz="0" w:space="0" w:color="auto"/>
                    <w:bottom w:val="none" w:sz="0" w:space="0" w:color="auto"/>
                    <w:right w:val="none" w:sz="0" w:space="0" w:color="auto"/>
                  </w:divBdr>
                  <w:divsChild>
                    <w:div w:id="58601531">
                      <w:marLeft w:val="0"/>
                      <w:marRight w:val="0"/>
                      <w:marTop w:val="0"/>
                      <w:marBottom w:val="0"/>
                      <w:divBdr>
                        <w:top w:val="none" w:sz="0" w:space="0" w:color="auto"/>
                        <w:left w:val="none" w:sz="0" w:space="0" w:color="auto"/>
                        <w:bottom w:val="none" w:sz="0" w:space="0" w:color="auto"/>
                        <w:right w:val="none" w:sz="0" w:space="0" w:color="auto"/>
                      </w:divBdr>
                      <w:divsChild>
                        <w:div w:id="185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744377">
      <w:bodyDiv w:val="1"/>
      <w:marLeft w:val="0"/>
      <w:marRight w:val="0"/>
      <w:marTop w:val="0"/>
      <w:marBottom w:val="0"/>
      <w:divBdr>
        <w:top w:val="none" w:sz="0" w:space="0" w:color="auto"/>
        <w:left w:val="none" w:sz="0" w:space="0" w:color="auto"/>
        <w:bottom w:val="none" w:sz="0" w:space="0" w:color="auto"/>
        <w:right w:val="none" w:sz="0" w:space="0" w:color="auto"/>
      </w:divBdr>
      <w:divsChild>
        <w:div w:id="472868588">
          <w:marLeft w:val="0"/>
          <w:marRight w:val="0"/>
          <w:marTop w:val="100"/>
          <w:marBottom w:val="100"/>
          <w:divBdr>
            <w:top w:val="none" w:sz="0" w:space="0" w:color="auto"/>
            <w:left w:val="none" w:sz="0" w:space="0" w:color="auto"/>
            <w:bottom w:val="none" w:sz="0" w:space="0" w:color="auto"/>
            <w:right w:val="none" w:sz="0" w:space="0" w:color="auto"/>
          </w:divBdr>
        </w:div>
        <w:div w:id="507601205">
          <w:marLeft w:val="0"/>
          <w:marRight w:val="0"/>
          <w:marTop w:val="100"/>
          <w:marBottom w:val="100"/>
          <w:divBdr>
            <w:top w:val="none" w:sz="0" w:space="0" w:color="auto"/>
            <w:left w:val="none" w:sz="0" w:space="0" w:color="auto"/>
            <w:bottom w:val="none" w:sz="0" w:space="0" w:color="auto"/>
            <w:right w:val="none" w:sz="0" w:space="0" w:color="auto"/>
          </w:divBdr>
          <w:divsChild>
            <w:div w:id="404761016">
              <w:marLeft w:val="0"/>
              <w:marRight w:val="0"/>
              <w:marTop w:val="0"/>
              <w:marBottom w:val="0"/>
              <w:divBdr>
                <w:top w:val="none" w:sz="0" w:space="0" w:color="auto"/>
                <w:left w:val="none" w:sz="0" w:space="0" w:color="auto"/>
                <w:bottom w:val="none" w:sz="0" w:space="0" w:color="auto"/>
                <w:right w:val="none" w:sz="0" w:space="0" w:color="auto"/>
              </w:divBdr>
              <w:divsChild>
                <w:div w:id="27335425">
                  <w:marLeft w:val="0"/>
                  <w:marRight w:val="0"/>
                  <w:marTop w:val="0"/>
                  <w:marBottom w:val="0"/>
                  <w:divBdr>
                    <w:top w:val="none" w:sz="0" w:space="0" w:color="auto"/>
                    <w:left w:val="none" w:sz="0" w:space="0" w:color="auto"/>
                    <w:bottom w:val="none" w:sz="0" w:space="0" w:color="auto"/>
                    <w:right w:val="none" w:sz="0" w:space="0" w:color="auto"/>
                  </w:divBdr>
                  <w:divsChild>
                    <w:div w:id="618607130">
                      <w:marLeft w:val="0"/>
                      <w:marRight w:val="0"/>
                      <w:marTop w:val="0"/>
                      <w:marBottom w:val="0"/>
                      <w:divBdr>
                        <w:top w:val="none" w:sz="0" w:space="0" w:color="auto"/>
                        <w:left w:val="none" w:sz="0" w:space="0" w:color="auto"/>
                        <w:bottom w:val="none" w:sz="0" w:space="0" w:color="auto"/>
                        <w:right w:val="none" w:sz="0" w:space="0" w:color="auto"/>
                      </w:divBdr>
                      <w:divsChild>
                        <w:div w:id="677971295">
                          <w:marLeft w:val="0"/>
                          <w:marRight w:val="0"/>
                          <w:marTop w:val="0"/>
                          <w:marBottom w:val="0"/>
                          <w:divBdr>
                            <w:top w:val="none" w:sz="0" w:space="0" w:color="auto"/>
                            <w:left w:val="none" w:sz="0" w:space="0" w:color="auto"/>
                            <w:bottom w:val="none" w:sz="0" w:space="0" w:color="auto"/>
                            <w:right w:val="none" w:sz="0" w:space="0" w:color="auto"/>
                          </w:divBdr>
                          <w:divsChild>
                            <w:div w:id="200897428">
                              <w:marLeft w:val="0"/>
                              <w:marRight w:val="0"/>
                              <w:marTop w:val="0"/>
                              <w:marBottom w:val="0"/>
                              <w:divBdr>
                                <w:top w:val="none" w:sz="0" w:space="0" w:color="auto"/>
                                <w:left w:val="none" w:sz="0" w:space="0" w:color="auto"/>
                                <w:bottom w:val="none" w:sz="0" w:space="0" w:color="auto"/>
                                <w:right w:val="none" w:sz="0" w:space="0" w:color="auto"/>
                              </w:divBdr>
                              <w:divsChild>
                                <w:div w:id="368838459">
                                  <w:marLeft w:val="0"/>
                                  <w:marRight w:val="0"/>
                                  <w:marTop w:val="0"/>
                                  <w:marBottom w:val="0"/>
                                  <w:divBdr>
                                    <w:top w:val="single" w:sz="4" w:space="0" w:color="407CA8"/>
                                    <w:left w:val="single" w:sz="4" w:space="0" w:color="407CA8"/>
                                    <w:bottom w:val="single" w:sz="4" w:space="0" w:color="407CA8"/>
                                    <w:right w:val="single" w:sz="4" w:space="0" w:color="407CA8"/>
                                  </w:divBdr>
                                </w:div>
                                <w:div w:id="1973056264">
                                  <w:marLeft w:val="0"/>
                                  <w:marRight w:val="0"/>
                                  <w:marTop w:val="0"/>
                                  <w:marBottom w:val="0"/>
                                  <w:divBdr>
                                    <w:top w:val="single" w:sz="4" w:space="0" w:color="407CA8"/>
                                    <w:left w:val="single" w:sz="4" w:space="0" w:color="407CA8"/>
                                    <w:bottom w:val="single" w:sz="4" w:space="0" w:color="407CA8"/>
                                    <w:right w:val="single" w:sz="4" w:space="0" w:color="407CA8"/>
                                  </w:divBdr>
                                </w:div>
                                <w:div w:id="451632618">
                                  <w:marLeft w:val="0"/>
                                  <w:marRight w:val="0"/>
                                  <w:marTop w:val="0"/>
                                  <w:marBottom w:val="0"/>
                                  <w:divBdr>
                                    <w:top w:val="single" w:sz="4" w:space="0" w:color="407CA8"/>
                                    <w:left w:val="single" w:sz="4" w:space="0" w:color="407CA8"/>
                                    <w:bottom w:val="single" w:sz="4" w:space="0" w:color="407CA8"/>
                                    <w:right w:val="single" w:sz="4" w:space="0" w:color="407CA8"/>
                                  </w:divBdr>
                                </w:div>
                              </w:divsChild>
                            </w:div>
                          </w:divsChild>
                        </w:div>
                      </w:divsChild>
                    </w:div>
                    <w:div w:id="2081055277">
                      <w:marLeft w:val="0"/>
                      <w:marRight w:val="0"/>
                      <w:marTop w:val="0"/>
                      <w:marBottom w:val="0"/>
                      <w:divBdr>
                        <w:top w:val="none" w:sz="0" w:space="0" w:color="auto"/>
                        <w:left w:val="none" w:sz="0" w:space="0" w:color="auto"/>
                        <w:bottom w:val="none" w:sz="0" w:space="0" w:color="auto"/>
                        <w:right w:val="none" w:sz="0" w:space="0" w:color="auto"/>
                      </w:divBdr>
                      <w:divsChild>
                        <w:div w:id="918322628">
                          <w:marLeft w:val="0"/>
                          <w:marRight w:val="0"/>
                          <w:marTop w:val="0"/>
                          <w:marBottom w:val="0"/>
                          <w:divBdr>
                            <w:top w:val="none" w:sz="0" w:space="0" w:color="auto"/>
                            <w:left w:val="none" w:sz="0" w:space="0" w:color="auto"/>
                            <w:bottom w:val="none" w:sz="0" w:space="0" w:color="auto"/>
                            <w:right w:val="none" w:sz="0" w:space="0" w:color="auto"/>
                          </w:divBdr>
                          <w:divsChild>
                            <w:div w:id="395321394">
                              <w:marLeft w:val="0"/>
                              <w:marRight w:val="0"/>
                              <w:marTop w:val="0"/>
                              <w:marBottom w:val="0"/>
                              <w:divBdr>
                                <w:top w:val="none" w:sz="0" w:space="0" w:color="auto"/>
                                <w:left w:val="none" w:sz="0" w:space="0" w:color="auto"/>
                                <w:bottom w:val="none" w:sz="0" w:space="0" w:color="auto"/>
                                <w:right w:val="none" w:sz="0" w:space="0" w:color="auto"/>
                              </w:divBdr>
                              <w:divsChild>
                                <w:div w:id="873034247">
                                  <w:marLeft w:val="0"/>
                                  <w:marRight w:val="0"/>
                                  <w:marTop w:val="0"/>
                                  <w:marBottom w:val="0"/>
                                  <w:divBdr>
                                    <w:top w:val="none" w:sz="0" w:space="0" w:color="auto"/>
                                    <w:left w:val="none" w:sz="0" w:space="0" w:color="auto"/>
                                    <w:bottom w:val="none" w:sz="0" w:space="0" w:color="auto"/>
                                    <w:right w:val="none" w:sz="0" w:space="0" w:color="auto"/>
                                  </w:divBdr>
                                  <w:divsChild>
                                    <w:div w:id="855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dgccrf/concurrence/Concentr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onomie.gouv.fr/dgccrf/concurrence/Pratiques-anticoncurrentiell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nomie.gouv.fr/dgccrf/La-DGCCRF/Missions/cooperation-internationale" TargetMode="External"/><Relationship Id="rId5" Type="http://schemas.openxmlformats.org/officeDocument/2006/relationships/footnotes" Target="footnotes.xml"/><Relationship Id="rId10" Type="http://schemas.openxmlformats.org/officeDocument/2006/relationships/hyperlink" Target="https://www.economie.gouv.fr/dgccrf/concurrence/Veiller-a-la-concurrence-dans-la-commande-publique" TargetMode="External"/><Relationship Id="rId4" Type="http://schemas.openxmlformats.org/officeDocument/2006/relationships/webSettings" Target="webSettings.xml"/><Relationship Id="rId9" Type="http://schemas.openxmlformats.org/officeDocument/2006/relationships/hyperlink" Target="https://www.economie.gouv.fr/dgccrf/concurrence/Relations-commercial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economie.gouv.fr/dgccr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648</Words>
  <Characters>3564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2023-01-25T15:17:00Z</cp:lastPrinted>
  <dcterms:created xsi:type="dcterms:W3CDTF">2022-10-04T05:16:00Z</dcterms:created>
  <dcterms:modified xsi:type="dcterms:W3CDTF">2023-01-25T15:20:00Z</dcterms:modified>
</cp:coreProperties>
</file>