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1" w:type="pct"/>
        <w:shd w:val="solid" w:color="31849B" w:fill="auto"/>
        <w:tblLayout w:type="fixed"/>
        <w:tblCellMar>
          <w:left w:w="0" w:type="dxa"/>
          <w:right w:w="0" w:type="dxa"/>
        </w:tblCellMar>
        <w:tblLook w:val="00A0" w:firstRow="1" w:lastRow="0" w:firstColumn="1" w:lastColumn="0" w:noHBand="0" w:noVBand="0"/>
      </w:tblPr>
      <w:tblGrid>
        <w:gridCol w:w="2835"/>
        <w:gridCol w:w="6237"/>
      </w:tblGrid>
      <w:tr w:rsidR="00E23876" w:rsidRPr="005354E4" w14:paraId="437AA338" w14:textId="77777777" w:rsidTr="00A6148E">
        <w:trPr>
          <w:trHeight w:val="485"/>
        </w:trPr>
        <w:tc>
          <w:tcPr>
            <w:tcW w:w="2835" w:type="dxa"/>
            <w:vMerge w:val="restart"/>
            <w:shd w:val="clear" w:color="548DD4" w:fill="auto"/>
          </w:tcPr>
          <w:p w14:paraId="22DA1154" w14:textId="77777777" w:rsidR="00E23876" w:rsidRPr="005354E4" w:rsidRDefault="00A6148E" w:rsidP="00415730">
            <w:pPr>
              <w:spacing w:before="120" w:after="120"/>
              <w:jc w:val="both"/>
              <w:rPr>
                <w:rFonts w:cstheme="minorHAnsi"/>
                <w:noProof/>
                <w:color w:val="FFFFFF"/>
                <w:lang w:eastAsia="fr-FR"/>
              </w:rPr>
            </w:pPr>
            <w:bookmarkStart w:id="0" w:name="_GoBack"/>
            <w:bookmarkEnd w:id="0"/>
            <w:r w:rsidRPr="005354E4">
              <w:rPr>
                <w:rFonts w:cstheme="minorHAnsi"/>
                <w:noProof/>
                <w:color w:val="FFFFFF"/>
                <w:lang w:eastAsia="fr-FR"/>
              </w:rPr>
              <w:drawing>
                <wp:inline distT="0" distB="0" distL="0" distR="0" wp14:anchorId="3CD3A681" wp14:editId="1EA779DB">
                  <wp:extent cx="1680210" cy="761955"/>
                  <wp:effectExtent l="0" t="0" r="0" b="635"/>
                  <wp:docPr id="2" name="Image 2" descr="Z:\01_Observatoire\2_Plénier\2017\logo vectorisé OSMP Pantone 2745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1_Observatoire\2_Plénier\2017\logo vectorisé OSMP Pantone 2745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166" cy="780982"/>
                          </a:xfrm>
                          <a:prstGeom prst="rect">
                            <a:avLst/>
                          </a:prstGeom>
                          <a:noFill/>
                          <a:ln>
                            <a:noFill/>
                          </a:ln>
                        </pic:spPr>
                      </pic:pic>
                    </a:graphicData>
                  </a:graphic>
                </wp:inline>
              </w:drawing>
            </w:r>
          </w:p>
        </w:tc>
        <w:tc>
          <w:tcPr>
            <w:tcW w:w="6237" w:type="dxa"/>
            <w:shd w:val="clear" w:color="auto" w:fill="002060"/>
          </w:tcPr>
          <w:p w14:paraId="22D794F8" w14:textId="77777777" w:rsidR="00E23876" w:rsidRPr="005354E4" w:rsidRDefault="00796410" w:rsidP="00A6148E">
            <w:pPr>
              <w:spacing w:after="120"/>
              <w:ind w:left="32"/>
              <w:jc w:val="center"/>
              <w:rPr>
                <w:rFonts w:cstheme="minorHAnsi"/>
                <w:smallCaps/>
                <w:color w:val="FFFFFF"/>
                <w:sz w:val="34"/>
                <w:szCs w:val="34"/>
              </w:rPr>
            </w:pPr>
            <w:r w:rsidRPr="005354E4">
              <w:rPr>
                <w:rFonts w:cstheme="minorHAnsi"/>
                <w:smallCaps/>
                <w:color w:val="FFFFFF"/>
                <w:sz w:val="36"/>
                <w:szCs w:val="34"/>
              </w:rPr>
              <w:t>Re</w:t>
            </w:r>
            <w:r w:rsidR="00373761" w:rsidRPr="005354E4">
              <w:rPr>
                <w:rFonts w:cstheme="minorHAnsi"/>
                <w:smallCaps/>
                <w:color w:val="FFFFFF"/>
                <w:sz w:val="36"/>
                <w:szCs w:val="34"/>
              </w:rPr>
              <w:t>commandations de l’Observatoire</w:t>
            </w:r>
          </w:p>
        </w:tc>
      </w:tr>
      <w:tr w:rsidR="00373761" w:rsidRPr="005354E4" w14:paraId="41B157EA" w14:textId="77777777" w:rsidTr="00A6148E">
        <w:trPr>
          <w:trHeight w:val="485"/>
        </w:trPr>
        <w:tc>
          <w:tcPr>
            <w:tcW w:w="2835" w:type="dxa"/>
            <w:vMerge/>
            <w:shd w:val="clear" w:color="548DD4" w:fill="auto"/>
          </w:tcPr>
          <w:p w14:paraId="52D46CDD" w14:textId="77777777" w:rsidR="00373761" w:rsidRPr="005354E4" w:rsidRDefault="00373761" w:rsidP="00415730">
            <w:pPr>
              <w:spacing w:before="120" w:after="120"/>
              <w:jc w:val="both"/>
              <w:rPr>
                <w:rFonts w:cstheme="minorHAnsi"/>
                <w:noProof/>
                <w:color w:val="FFFFFF"/>
                <w:lang w:eastAsia="fr-FR"/>
              </w:rPr>
            </w:pPr>
          </w:p>
        </w:tc>
        <w:tc>
          <w:tcPr>
            <w:tcW w:w="6237" w:type="dxa"/>
            <w:tcBorders>
              <w:bottom w:val="single" w:sz="4" w:space="0" w:color="000099"/>
            </w:tcBorders>
            <w:shd w:val="clear" w:color="auto" w:fill="auto"/>
          </w:tcPr>
          <w:p w14:paraId="3A614C1A" w14:textId="77777777" w:rsidR="00373761" w:rsidRPr="005354E4" w:rsidRDefault="00373761" w:rsidP="00A6148E">
            <w:pPr>
              <w:spacing w:before="60" w:after="60"/>
              <w:ind w:left="34"/>
              <w:jc w:val="center"/>
              <w:rPr>
                <w:rFonts w:cstheme="minorHAnsi"/>
                <w:smallCaps/>
                <w:color w:val="0000CC"/>
                <w:sz w:val="36"/>
                <w:szCs w:val="34"/>
              </w:rPr>
            </w:pPr>
            <w:r w:rsidRPr="005354E4">
              <w:rPr>
                <w:rFonts w:cstheme="minorHAnsi"/>
                <w:smallCaps/>
                <w:color w:val="000099"/>
                <w:sz w:val="36"/>
                <w:szCs w:val="34"/>
              </w:rPr>
              <w:t>Modalités de remboursement des opérations de paiement frauduleuses</w:t>
            </w:r>
          </w:p>
        </w:tc>
      </w:tr>
      <w:tr w:rsidR="00E23876" w:rsidRPr="005354E4" w14:paraId="42B5F2E7" w14:textId="77777777" w:rsidTr="00A6148E">
        <w:trPr>
          <w:trHeight w:val="712"/>
        </w:trPr>
        <w:tc>
          <w:tcPr>
            <w:tcW w:w="2835" w:type="dxa"/>
            <w:vMerge/>
            <w:shd w:val="clear" w:color="548DD4" w:fill="auto"/>
          </w:tcPr>
          <w:p w14:paraId="4B867703" w14:textId="77777777" w:rsidR="00E23876" w:rsidRPr="005354E4" w:rsidRDefault="00E23876" w:rsidP="00415730">
            <w:pPr>
              <w:spacing w:before="120" w:after="120"/>
              <w:jc w:val="both"/>
              <w:rPr>
                <w:rFonts w:cstheme="minorHAnsi"/>
                <w:color w:val="FFFFFF"/>
              </w:rPr>
            </w:pPr>
          </w:p>
        </w:tc>
        <w:tc>
          <w:tcPr>
            <w:tcW w:w="6237" w:type="dxa"/>
            <w:tcBorders>
              <w:top w:val="single" w:sz="4" w:space="0" w:color="000099"/>
            </w:tcBorders>
            <w:shd w:val="clear" w:color="4F81BD" w:fill="auto"/>
          </w:tcPr>
          <w:p w14:paraId="0090811D" w14:textId="77777777" w:rsidR="00E23876" w:rsidRPr="005354E4" w:rsidRDefault="00E23876" w:rsidP="00415730">
            <w:pPr>
              <w:pStyle w:val="Paragraphedeliste"/>
              <w:tabs>
                <w:tab w:val="left" w:pos="2944"/>
                <w:tab w:val="left" w:pos="4160"/>
              </w:tabs>
              <w:spacing w:before="120" w:after="120"/>
              <w:ind w:left="32"/>
              <w:jc w:val="both"/>
              <w:rPr>
                <w:rFonts w:cstheme="minorHAnsi"/>
                <w:b/>
                <w:color w:val="FFFFFF"/>
                <w:sz w:val="16"/>
              </w:rPr>
            </w:pPr>
          </w:p>
        </w:tc>
      </w:tr>
    </w:tbl>
    <w:p w14:paraId="593458B1" w14:textId="77777777" w:rsidR="008B2F1A" w:rsidRPr="005354E4" w:rsidRDefault="00796410" w:rsidP="00373761">
      <w:pPr>
        <w:pStyle w:val="Titre1"/>
        <w:numPr>
          <w:ilvl w:val="0"/>
          <w:numId w:val="8"/>
        </w:numPr>
        <w:pBdr>
          <w:top w:val="single" w:sz="4" w:space="1" w:color="000099"/>
          <w:bottom w:val="single" w:sz="4" w:space="1" w:color="000099"/>
        </w:pBdr>
        <w:spacing w:before="240"/>
        <w:ind w:left="357" w:hanging="357"/>
        <w:jc w:val="both"/>
        <w:rPr>
          <w:rFonts w:asciiTheme="minorHAnsi" w:hAnsiTheme="minorHAnsi" w:cstheme="minorHAnsi"/>
          <w:b w:val="0"/>
          <w:smallCaps/>
          <w:color w:val="000099"/>
          <w:sz w:val="28"/>
        </w:rPr>
      </w:pPr>
      <w:r w:rsidRPr="005354E4">
        <w:rPr>
          <w:rFonts w:asciiTheme="minorHAnsi" w:hAnsiTheme="minorHAnsi" w:cstheme="minorHAnsi"/>
          <w:b w:val="0"/>
          <w:smallCaps/>
          <w:color w:val="000099"/>
          <w:sz w:val="28"/>
        </w:rPr>
        <w:t>Contexte des travaux</w:t>
      </w:r>
    </w:p>
    <w:p w14:paraId="483B5C43" w14:textId="77777777" w:rsidR="002064DF" w:rsidRPr="005354E4" w:rsidRDefault="002064DF" w:rsidP="00373761">
      <w:pPr>
        <w:pStyle w:val="Paragraphedeliste"/>
        <w:spacing w:after="0"/>
        <w:jc w:val="both"/>
        <w:rPr>
          <w:rFonts w:cstheme="minorHAnsi"/>
          <w:b/>
          <w:u w:val="single"/>
        </w:rPr>
      </w:pPr>
    </w:p>
    <w:p w14:paraId="284F47A4" w14:textId="77777777" w:rsidR="006C2A10" w:rsidRPr="005354E4" w:rsidRDefault="00BE75B4" w:rsidP="00415730">
      <w:pPr>
        <w:jc w:val="both"/>
        <w:rPr>
          <w:rFonts w:cstheme="minorHAnsi"/>
          <w:b/>
        </w:rPr>
      </w:pPr>
      <w:r w:rsidRPr="005354E4">
        <w:rPr>
          <w:rFonts w:cstheme="minorHAnsi"/>
          <w:b/>
        </w:rPr>
        <w:t xml:space="preserve">1.1 </w:t>
      </w:r>
      <w:r w:rsidR="006C2A10" w:rsidRPr="005354E4">
        <w:rPr>
          <w:rFonts w:cstheme="minorHAnsi"/>
          <w:b/>
        </w:rPr>
        <w:t>La mise en place de l’authentification forte du porteur</w:t>
      </w:r>
      <w:r w:rsidR="00853BE1" w:rsidRPr="005354E4">
        <w:rPr>
          <w:rFonts w:cstheme="minorHAnsi"/>
          <w:b/>
        </w:rPr>
        <w:t xml:space="preserve"> pour sécuriser les paiements électroniques</w:t>
      </w:r>
    </w:p>
    <w:p w14:paraId="047C1521" w14:textId="77777777" w:rsidR="00567726" w:rsidRPr="005354E4" w:rsidRDefault="00567726" w:rsidP="00415730">
      <w:pPr>
        <w:jc w:val="both"/>
        <w:rPr>
          <w:rFonts w:cstheme="minorHAnsi"/>
        </w:rPr>
      </w:pPr>
      <w:r w:rsidRPr="005354E4">
        <w:rPr>
          <w:rFonts w:cstheme="minorHAnsi"/>
        </w:rPr>
        <w:t>Le recours à l’authentification forte du payeur pour l’initiation d’un paiement électronique est une disposition clé en matière de sécurité des paiements</w:t>
      </w:r>
      <w:r w:rsidR="000A7FDD" w:rsidRPr="005354E4">
        <w:rPr>
          <w:rFonts w:cstheme="minorHAnsi"/>
        </w:rPr>
        <w:t>, qui a été</w:t>
      </w:r>
      <w:r w:rsidRPr="005354E4">
        <w:rPr>
          <w:rFonts w:cstheme="minorHAnsi"/>
        </w:rPr>
        <w:t xml:space="preserve"> introduite par la deuxième directive européenne sur les services de paiement (DSP2)</w:t>
      </w:r>
      <w:r w:rsidR="000A7FDD" w:rsidRPr="005354E4">
        <w:rPr>
          <w:rStyle w:val="Appelnotedebasdep"/>
          <w:rFonts w:cstheme="minorHAnsi"/>
        </w:rPr>
        <w:footnoteReference w:id="2"/>
      </w:r>
      <w:r w:rsidRPr="005354E4">
        <w:rPr>
          <w:rFonts w:cstheme="minorHAnsi"/>
        </w:rPr>
        <w:t xml:space="preserve">. </w:t>
      </w:r>
      <w:r w:rsidR="006C2A10" w:rsidRPr="005354E4">
        <w:rPr>
          <w:rFonts w:cstheme="minorHAnsi"/>
        </w:rPr>
        <w:t>Pour ce qui concerne les paiements par carte sur internet, l</w:t>
      </w:r>
      <w:r w:rsidRPr="005354E4">
        <w:rPr>
          <w:rFonts w:cstheme="minorHAnsi"/>
        </w:rPr>
        <w:t xml:space="preserve">a mise en œuvre de cette disposition au niveau du marché français s’est appuyée sur un plan de migration adopté par l’Observatoire à l’automne 2019, et </w:t>
      </w:r>
      <w:r w:rsidR="00E17C34" w:rsidRPr="005354E4">
        <w:rPr>
          <w:rFonts w:cstheme="minorHAnsi"/>
        </w:rPr>
        <w:t xml:space="preserve">l’authentification forte </w:t>
      </w:r>
      <w:r w:rsidRPr="005354E4">
        <w:rPr>
          <w:rFonts w:cstheme="minorHAnsi"/>
        </w:rPr>
        <w:t>a ensuite été déployé</w:t>
      </w:r>
      <w:r w:rsidR="00E17C34" w:rsidRPr="005354E4">
        <w:rPr>
          <w:rFonts w:cstheme="minorHAnsi"/>
        </w:rPr>
        <w:t>e</w:t>
      </w:r>
      <w:r w:rsidRPr="005354E4">
        <w:rPr>
          <w:rFonts w:cstheme="minorHAnsi"/>
        </w:rPr>
        <w:t xml:space="preserve"> sur une période de deux ans environ.</w:t>
      </w:r>
    </w:p>
    <w:p w14:paraId="27434F75" w14:textId="77777777" w:rsidR="00567726" w:rsidRPr="005354E4" w:rsidRDefault="00567726" w:rsidP="00567726">
      <w:pPr>
        <w:spacing w:before="60" w:after="120"/>
        <w:jc w:val="both"/>
      </w:pPr>
      <w:r w:rsidRPr="005354E4">
        <w:t>Pour mémoire, l’authentification forte repose sur l’utilisation de deux éléments ou plus appartenant au moins à deux catégories différentes de facteur</w:t>
      </w:r>
      <w:r w:rsidR="004A4954" w:rsidRPr="005354E4">
        <w:t>s</w:t>
      </w:r>
      <w:r w:rsidRPr="005354E4">
        <w:t xml:space="preserve"> d’authentification, parmi les trois catégories suivantes :</w:t>
      </w:r>
    </w:p>
    <w:p w14:paraId="5C4C0562" w14:textId="77777777" w:rsidR="00567726" w:rsidRPr="005354E4" w:rsidRDefault="00567726" w:rsidP="00567726">
      <w:pPr>
        <w:pStyle w:val="Paragraphedeliste"/>
        <w:numPr>
          <w:ilvl w:val="0"/>
          <w:numId w:val="46"/>
        </w:numPr>
        <w:spacing w:before="60" w:after="120"/>
        <w:contextualSpacing w:val="0"/>
        <w:jc w:val="both"/>
        <w:rPr>
          <w:rFonts w:cstheme="minorHAnsi"/>
        </w:rPr>
      </w:pPr>
      <w:r w:rsidRPr="005354E4">
        <w:rPr>
          <w:rFonts w:cstheme="minorHAnsi"/>
        </w:rPr>
        <w:t>« connaissance » : une information que seul l’utilisateur connaît, par exemple un code confidentiel, un mot de passe ou une information personnelle ;</w:t>
      </w:r>
    </w:p>
    <w:p w14:paraId="6B775E2F" w14:textId="77777777" w:rsidR="00567726" w:rsidRPr="005354E4" w:rsidRDefault="00567726" w:rsidP="00567726">
      <w:pPr>
        <w:pStyle w:val="Paragraphedeliste"/>
        <w:numPr>
          <w:ilvl w:val="0"/>
          <w:numId w:val="46"/>
        </w:numPr>
        <w:spacing w:before="60" w:after="120"/>
        <w:contextualSpacing w:val="0"/>
        <w:jc w:val="both"/>
        <w:rPr>
          <w:rFonts w:cstheme="minorHAnsi"/>
        </w:rPr>
      </w:pPr>
      <w:r w:rsidRPr="005354E4">
        <w:rPr>
          <w:rFonts w:cstheme="minorHAnsi"/>
        </w:rPr>
        <w:t xml:space="preserve">« possession » : un objet que seul l’utilisateur possède, et qui peut être reconnu sans risque d’erreur par le prestataire de services de paiement (PSP) </w:t>
      </w:r>
      <w:r w:rsidR="008F14A1" w:rsidRPr="005354E4">
        <w:rPr>
          <w:rFonts w:cstheme="minorHAnsi"/>
        </w:rPr>
        <w:t xml:space="preserve">comme par exemple </w:t>
      </w:r>
      <w:r w:rsidRPr="005354E4">
        <w:rPr>
          <w:rFonts w:cstheme="minorHAnsi"/>
        </w:rPr>
        <w:t xml:space="preserve">une carte, un smartphone, </w:t>
      </w:r>
      <w:r w:rsidR="000A7FDD" w:rsidRPr="005354E4">
        <w:rPr>
          <w:rFonts w:cstheme="minorHAnsi"/>
        </w:rPr>
        <w:t xml:space="preserve">une clé USB, un boîtier sécurisé, </w:t>
      </w:r>
      <w:r w:rsidRPr="005354E4">
        <w:rPr>
          <w:rFonts w:cstheme="minorHAnsi"/>
        </w:rPr>
        <w:t>une montre ou un bracelet connecté, etc. ;</w:t>
      </w:r>
    </w:p>
    <w:p w14:paraId="5D652C41" w14:textId="77777777" w:rsidR="00567726" w:rsidRPr="005354E4" w:rsidRDefault="00567726" w:rsidP="00567726">
      <w:pPr>
        <w:pStyle w:val="Paragraphedeliste"/>
        <w:numPr>
          <w:ilvl w:val="0"/>
          <w:numId w:val="46"/>
        </w:numPr>
        <w:spacing w:before="60" w:after="120"/>
        <w:contextualSpacing w:val="0"/>
        <w:jc w:val="both"/>
        <w:rPr>
          <w:rFonts w:cstheme="minorHAnsi"/>
        </w:rPr>
      </w:pPr>
      <w:r w:rsidRPr="005354E4">
        <w:rPr>
          <w:rFonts w:cstheme="minorHAnsi"/>
        </w:rPr>
        <w:t>« inhérence » : un facteur d’authentification propre à l’utilisateur lui-même, c’est-à-dire une caractéristique biométrique</w:t>
      </w:r>
      <w:r w:rsidR="000A7FDD" w:rsidRPr="005354E4">
        <w:rPr>
          <w:rFonts w:cstheme="minorHAnsi"/>
        </w:rPr>
        <w:t xml:space="preserve"> (empreinte</w:t>
      </w:r>
      <w:r w:rsidR="008F14A1" w:rsidRPr="005354E4">
        <w:rPr>
          <w:rFonts w:cstheme="minorHAnsi"/>
        </w:rPr>
        <w:t xml:space="preserve"> </w:t>
      </w:r>
      <w:r w:rsidR="003132C2" w:rsidRPr="005354E4">
        <w:rPr>
          <w:rFonts w:cstheme="minorHAnsi"/>
        </w:rPr>
        <w:t>digitale</w:t>
      </w:r>
      <w:r w:rsidR="000A7FDD" w:rsidRPr="005354E4">
        <w:rPr>
          <w:rFonts w:cstheme="minorHAnsi"/>
        </w:rPr>
        <w:t>, visage, voix…)</w:t>
      </w:r>
      <w:r w:rsidRPr="005354E4">
        <w:rPr>
          <w:rFonts w:cstheme="minorHAnsi"/>
        </w:rPr>
        <w:t>.</w:t>
      </w:r>
    </w:p>
    <w:p w14:paraId="0D5FAB22" w14:textId="77777777" w:rsidR="004A4954" w:rsidRPr="005354E4" w:rsidRDefault="004A4954" w:rsidP="00567726">
      <w:pPr>
        <w:spacing w:before="60" w:after="120"/>
        <w:jc w:val="both"/>
      </w:pPr>
      <w:r w:rsidRPr="005354E4">
        <w:t>Lorsque l’enrôlement</w:t>
      </w:r>
      <w:r w:rsidR="00766595" w:rsidRPr="005354E4">
        <w:t xml:space="preserve"> d’un élément de possession</w:t>
      </w:r>
      <w:r w:rsidRPr="005354E4">
        <w:t>, c’est-à-dire l’association à un utilisateur d’un objet que seul cet utilisateur possède et qui servira de facteur d’authentification forte, s’effectue à distance, alors cet enrôlement doit lui-même être validé par authentification forte.</w:t>
      </w:r>
    </w:p>
    <w:p w14:paraId="2A34F1F2" w14:textId="77777777" w:rsidR="00567726" w:rsidRPr="005354E4" w:rsidRDefault="00567726" w:rsidP="00567726">
      <w:pPr>
        <w:spacing w:before="60" w:after="120"/>
        <w:jc w:val="both"/>
      </w:pPr>
      <w:r w:rsidRPr="005354E4">
        <w:t xml:space="preserve">La DSP2 dispose que ces éléments doivent être indépendants : la compromission de l’un ne doit pas remettre en question la fiabilité des autres, de manière à préserver la confidentialité des données d’authentification. En outre, concernant les paiements à distance, la DSP2 ajoute </w:t>
      </w:r>
      <w:r w:rsidR="00984329" w:rsidRPr="005354E4">
        <w:t>une exigence</w:t>
      </w:r>
      <w:r w:rsidRPr="005354E4">
        <w:t xml:space="preserve"> supplémentaire : les données d’authentification doivent être liées à l’opération de paiement, de sorte qu’elles ne peuvent être réutilisées pour une opération de paiement ultérieure</w:t>
      </w:r>
      <w:r w:rsidR="000A7FDD" w:rsidRPr="005354E4">
        <w:t>. On parle de lien dynamique :</w:t>
      </w:r>
    </w:p>
    <w:p w14:paraId="4C32AC67" w14:textId="77777777" w:rsidR="00567726" w:rsidRPr="005354E4" w:rsidRDefault="00567726" w:rsidP="00567726">
      <w:pPr>
        <w:pStyle w:val="Paragraphedeliste"/>
        <w:numPr>
          <w:ilvl w:val="0"/>
          <w:numId w:val="47"/>
        </w:numPr>
        <w:spacing w:before="60" w:after="120"/>
        <w:ind w:left="357" w:hanging="357"/>
        <w:contextualSpacing w:val="0"/>
        <w:jc w:val="both"/>
      </w:pPr>
      <w:r w:rsidRPr="005354E4">
        <w:t>le code d’authentification généré pour l’opération est spécifique au montant de l’opération et au bénéficiaire identifié ;</w:t>
      </w:r>
    </w:p>
    <w:p w14:paraId="4F0CBCF0" w14:textId="77777777" w:rsidR="00567726" w:rsidRPr="005354E4" w:rsidRDefault="00567726" w:rsidP="00567726">
      <w:pPr>
        <w:pStyle w:val="Paragraphedeliste"/>
        <w:numPr>
          <w:ilvl w:val="0"/>
          <w:numId w:val="47"/>
        </w:numPr>
        <w:spacing w:before="60" w:after="120"/>
        <w:ind w:left="357" w:hanging="357"/>
        <w:contextualSpacing w:val="0"/>
        <w:jc w:val="both"/>
      </w:pPr>
      <w:r w:rsidRPr="005354E4">
        <w:t xml:space="preserve">toute modification du montant ou du bénéficiaire </w:t>
      </w:r>
      <w:r w:rsidR="007F1926" w:rsidRPr="005354E4">
        <w:t xml:space="preserve">nécessite une nouvelle </w:t>
      </w:r>
      <w:r w:rsidRPr="005354E4">
        <w:t xml:space="preserve">authentification. </w:t>
      </w:r>
    </w:p>
    <w:p w14:paraId="36B93501" w14:textId="77777777" w:rsidR="00567726" w:rsidRPr="005354E4" w:rsidRDefault="00567726" w:rsidP="00567726">
      <w:pPr>
        <w:spacing w:before="60" w:after="120"/>
        <w:jc w:val="both"/>
      </w:pPr>
      <w:r w:rsidRPr="005354E4">
        <w:lastRenderedPageBreak/>
        <w:t>Dans le cas du recours à un facteur biométrique, la clé de validation de l’opération de paiement générée après lecture de l’empreinte devra être également à usage unique.</w:t>
      </w:r>
    </w:p>
    <w:p w14:paraId="7A333DD4" w14:textId="77777777" w:rsidR="00567726" w:rsidRPr="005354E4" w:rsidRDefault="00567726" w:rsidP="00415730">
      <w:pPr>
        <w:jc w:val="both"/>
        <w:rPr>
          <w:rFonts w:cstheme="minorHAnsi"/>
        </w:rPr>
      </w:pPr>
      <w:r w:rsidRPr="005354E4">
        <w:rPr>
          <w:rFonts w:cstheme="minorHAnsi"/>
        </w:rPr>
        <w:t xml:space="preserve">S’il est encore trop tôt pour tirer un bilan définitif de la mise en place de l’authentification forte, l’Observatoire note d’ores et déjà qu’elle a contribué à faire baisser substantiellement le taux de fraude sur les paiements internet, après </w:t>
      </w:r>
      <w:r w:rsidR="00330517" w:rsidRPr="005354E4">
        <w:rPr>
          <w:rFonts w:cstheme="minorHAnsi"/>
        </w:rPr>
        <w:t xml:space="preserve">deux </w:t>
      </w:r>
      <w:r w:rsidRPr="005354E4">
        <w:rPr>
          <w:rFonts w:cstheme="minorHAnsi"/>
        </w:rPr>
        <w:t>ans de stagnation qui soulignaient les limites atteintes en termes de sécurité par l’utilisation de l’authentification simple (SMS-OTP) déployée durant les années 2010. Les premières données disponibles concernant 2022 montrent que le taux de fraude devrait continuer à baisser de façon significative.</w:t>
      </w:r>
    </w:p>
    <w:p w14:paraId="1AD7DF62" w14:textId="77777777" w:rsidR="00567726" w:rsidRPr="005354E4" w:rsidRDefault="00567726" w:rsidP="00415730">
      <w:pPr>
        <w:jc w:val="both"/>
        <w:rPr>
          <w:rFonts w:cstheme="minorHAnsi"/>
          <w:b/>
        </w:rPr>
      </w:pPr>
      <w:r w:rsidRPr="005354E4">
        <w:rPr>
          <w:rFonts w:cstheme="minorHAnsi"/>
          <w:b/>
        </w:rPr>
        <w:t xml:space="preserve">Graphique 1 – Évolution du taux de fraude </w:t>
      </w:r>
      <w:r w:rsidR="00330517" w:rsidRPr="005354E4">
        <w:rPr>
          <w:rFonts w:cstheme="minorHAnsi"/>
          <w:b/>
        </w:rPr>
        <w:t xml:space="preserve">sur les </w:t>
      </w:r>
      <w:r w:rsidRPr="005354E4">
        <w:rPr>
          <w:rFonts w:cstheme="minorHAnsi"/>
          <w:b/>
        </w:rPr>
        <w:t>paiements domestiques par carte sur internet</w:t>
      </w:r>
    </w:p>
    <w:p w14:paraId="66A185B2" w14:textId="77777777" w:rsidR="00567726" w:rsidRPr="005354E4" w:rsidRDefault="00B97DFB" w:rsidP="00415730">
      <w:pPr>
        <w:jc w:val="both"/>
        <w:rPr>
          <w:rFonts w:cstheme="minorHAnsi"/>
          <w:color w:val="1F4E79" w:themeColor="accent1" w:themeShade="80"/>
        </w:rPr>
      </w:pPr>
      <w:r w:rsidRPr="005354E4">
        <w:rPr>
          <w:noProof/>
          <w:lang w:eastAsia="fr-FR"/>
        </w:rPr>
        <w:drawing>
          <wp:inline distT="0" distB="0" distL="0" distR="0" wp14:anchorId="19FA9BFB" wp14:editId="3E3EA25B">
            <wp:extent cx="5760720" cy="258885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588854"/>
                    </a:xfrm>
                    <a:prstGeom prst="rect">
                      <a:avLst/>
                    </a:prstGeom>
                    <a:noFill/>
                    <a:ln>
                      <a:noFill/>
                    </a:ln>
                  </pic:spPr>
                </pic:pic>
              </a:graphicData>
            </a:graphic>
          </wp:inline>
        </w:drawing>
      </w:r>
    </w:p>
    <w:p w14:paraId="5D92E85C" w14:textId="77777777" w:rsidR="0075335E" w:rsidRPr="005354E4" w:rsidRDefault="006C2A10" w:rsidP="00415730">
      <w:pPr>
        <w:jc w:val="both"/>
        <w:rPr>
          <w:rFonts w:cstheme="minorHAnsi"/>
        </w:rPr>
      </w:pPr>
      <w:r w:rsidRPr="005354E4">
        <w:rPr>
          <w:rFonts w:cstheme="minorHAnsi"/>
        </w:rPr>
        <w:t>Sur l’ensemble des paiements par carte sur internet (y compris les paiements réalisés auprès de sites étrangers par les porteurs français), l</w:t>
      </w:r>
      <w:r w:rsidR="005E737F" w:rsidRPr="005354E4">
        <w:rPr>
          <w:rFonts w:cstheme="minorHAnsi"/>
        </w:rPr>
        <w:t xml:space="preserve">e taux de fraude </w:t>
      </w:r>
      <w:r w:rsidR="003C6873" w:rsidRPr="005354E4">
        <w:rPr>
          <w:rFonts w:cstheme="minorHAnsi"/>
        </w:rPr>
        <w:t xml:space="preserve">en montant </w:t>
      </w:r>
      <w:r w:rsidR="005E737F" w:rsidRPr="005354E4">
        <w:rPr>
          <w:rFonts w:cstheme="minorHAnsi"/>
        </w:rPr>
        <w:t>sur les paiements en ligne est ainsi passé de 0,249</w:t>
      </w:r>
      <w:r w:rsidR="00A86926" w:rsidRPr="005354E4">
        <w:rPr>
          <w:rFonts w:cstheme="minorHAnsi"/>
        </w:rPr>
        <w:t> </w:t>
      </w:r>
      <w:r w:rsidR="005E737F" w:rsidRPr="005354E4">
        <w:rPr>
          <w:rFonts w:cstheme="minorHAnsi"/>
        </w:rPr>
        <w:t>% en 2020 à 0,196</w:t>
      </w:r>
      <w:r w:rsidR="00A86926" w:rsidRPr="005354E4">
        <w:rPr>
          <w:rFonts w:cstheme="minorHAnsi"/>
        </w:rPr>
        <w:t> </w:t>
      </w:r>
      <w:r w:rsidR="005E737F" w:rsidRPr="005354E4">
        <w:rPr>
          <w:rFonts w:cstheme="minorHAnsi"/>
        </w:rPr>
        <w:t>% en 2021</w:t>
      </w:r>
      <w:r w:rsidR="00862887" w:rsidRPr="005354E4">
        <w:rPr>
          <w:rFonts w:cstheme="minorHAnsi"/>
        </w:rPr>
        <w:t xml:space="preserve">, soit </w:t>
      </w:r>
      <w:r w:rsidR="00BE75B4" w:rsidRPr="005354E4">
        <w:rPr>
          <w:rFonts w:cstheme="minorHAnsi"/>
        </w:rPr>
        <w:t xml:space="preserve">son </w:t>
      </w:r>
      <w:r w:rsidR="00862887" w:rsidRPr="005354E4">
        <w:rPr>
          <w:rFonts w:cstheme="minorHAnsi"/>
        </w:rPr>
        <w:t>plus bas niveau historique</w:t>
      </w:r>
      <w:r w:rsidR="005E737F" w:rsidRPr="005354E4">
        <w:rPr>
          <w:rFonts w:cstheme="minorHAnsi"/>
        </w:rPr>
        <w:t xml:space="preserve">, alors que </w:t>
      </w:r>
      <w:r w:rsidR="000C243D" w:rsidRPr="005354E4">
        <w:rPr>
          <w:rFonts w:cstheme="minorHAnsi"/>
        </w:rPr>
        <w:t xml:space="preserve">sur la même année, </w:t>
      </w:r>
      <w:r w:rsidR="005E737F" w:rsidRPr="005354E4">
        <w:rPr>
          <w:rFonts w:cstheme="minorHAnsi"/>
        </w:rPr>
        <w:t>le</w:t>
      </w:r>
      <w:r w:rsidR="003C6873" w:rsidRPr="005354E4">
        <w:rPr>
          <w:rFonts w:cstheme="minorHAnsi"/>
        </w:rPr>
        <w:t xml:space="preserve"> </w:t>
      </w:r>
      <w:r w:rsidR="00A81D8F" w:rsidRPr="005354E4">
        <w:rPr>
          <w:rFonts w:cstheme="minorHAnsi"/>
        </w:rPr>
        <w:t>montant</w:t>
      </w:r>
      <w:r w:rsidR="005E737F" w:rsidRPr="005354E4">
        <w:rPr>
          <w:rFonts w:cstheme="minorHAnsi"/>
        </w:rPr>
        <w:t xml:space="preserve"> </w:t>
      </w:r>
      <w:r w:rsidR="00F5688B" w:rsidRPr="005354E4">
        <w:rPr>
          <w:rFonts w:cstheme="minorHAnsi"/>
        </w:rPr>
        <w:t xml:space="preserve">des </w:t>
      </w:r>
      <w:r w:rsidR="00330517" w:rsidRPr="005354E4">
        <w:rPr>
          <w:rFonts w:cstheme="minorHAnsi"/>
        </w:rPr>
        <w:t xml:space="preserve">opérations </w:t>
      </w:r>
      <w:r w:rsidR="005E737F" w:rsidRPr="005354E4">
        <w:rPr>
          <w:rFonts w:cstheme="minorHAnsi"/>
        </w:rPr>
        <w:t xml:space="preserve">de paiement par carte </w:t>
      </w:r>
      <w:r w:rsidR="00C90417" w:rsidRPr="005354E4">
        <w:rPr>
          <w:rFonts w:cstheme="minorHAnsi"/>
        </w:rPr>
        <w:t>a cru</w:t>
      </w:r>
      <w:r w:rsidR="000C243D" w:rsidRPr="005354E4">
        <w:rPr>
          <w:rFonts w:cstheme="minorHAnsi"/>
        </w:rPr>
        <w:t xml:space="preserve"> de </w:t>
      </w:r>
      <w:r w:rsidR="006A1920" w:rsidRPr="005354E4">
        <w:rPr>
          <w:rFonts w:cstheme="minorHAnsi"/>
        </w:rPr>
        <w:t>21</w:t>
      </w:r>
      <w:r w:rsidR="00A86926" w:rsidRPr="005354E4">
        <w:rPr>
          <w:rFonts w:cstheme="minorHAnsi"/>
        </w:rPr>
        <w:t> </w:t>
      </w:r>
      <w:r w:rsidR="000C243D" w:rsidRPr="005354E4">
        <w:rPr>
          <w:rFonts w:cstheme="minorHAnsi"/>
        </w:rPr>
        <w:t>% pour atteindre 17</w:t>
      </w:r>
      <w:r w:rsidR="006A1920" w:rsidRPr="005354E4">
        <w:rPr>
          <w:rFonts w:cstheme="minorHAnsi"/>
        </w:rPr>
        <w:t>7</w:t>
      </w:r>
      <w:r w:rsidR="000C243D" w:rsidRPr="005354E4">
        <w:rPr>
          <w:rFonts w:cstheme="minorHAnsi"/>
        </w:rPr>
        <w:t>,</w:t>
      </w:r>
      <w:r w:rsidR="006A1920" w:rsidRPr="005354E4">
        <w:rPr>
          <w:rFonts w:cstheme="minorHAnsi"/>
        </w:rPr>
        <w:t>1</w:t>
      </w:r>
      <w:r w:rsidR="000C243D" w:rsidRPr="005354E4">
        <w:rPr>
          <w:rFonts w:cstheme="minorHAnsi"/>
        </w:rPr>
        <w:t xml:space="preserve"> milliards d’euros.</w:t>
      </w:r>
    </w:p>
    <w:p w14:paraId="67E9046F" w14:textId="77777777" w:rsidR="00796410" w:rsidRPr="005354E4" w:rsidRDefault="00BE75B4" w:rsidP="00415730">
      <w:pPr>
        <w:jc w:val="both"/>
        <w:rPr>
          <w:rFonts w:cstheme="minorHAnsi"/>
          <w:b/>
        </w:rPr>
      </w:pPr>
      <w:r w:rsidRPr="005354E4">
        <w:rPr>
          <w:rFonts w:cstheme="minorHAnsi"/>
          <w:b/>
        </w:rPr>
        <w:t xml:space="preserve">1.2 </w:t>
      </w:r>
      <w:r w:rsidR="00796410" w:rsidRPr="005354E4">
        <w:rPr>
          <w:rFonts w:cstheme="minorHAnsi"/>
          <w:b/>
        </w:rPr>
        <w:t>Le développement de nouvelles techniques de fraude basées sur la manipulation pour contourner l’authentification forte</w:t>
      </w:r>
    </w:p>
    <w:p w14:paraId="715C0F8E" w14:textId="77777777" w:rsidR="001C5B54" w:rsidRPr="005354E4" w:rsidRDefault="006C2A10" w:rsidP="006C2A10">
      <w:pPr>
        <w:jc w:val="both"/>
        <w:rPr>
          <w:rFonts w:cstheme="minorHAnsi"/>
        </w:rPr>
      </w:pPr>
      <w:r w:rsidRPr="005354E4">
        <w:rPr>
          <w:rFonts w:cstheme="minorHAnsi"/>
        </w:rPr>
        <w:t xml:space="preserve">Si la mise en place de l’authentification forte permet d’assurer un haut niveau de sécurité technologique sur l'ensemble de la </w:t>
      </w:r>
      <w:r w:rsidR="00A86926" w:rsidRPr="005354E4">
        <w:rPr>
          <w:rFonts w:cstheme="minorHAnsi"/>
        </w:rPr>
        <w:t xml:space="preserve">chaîne </w:t>
      </w:r>
      <w:r w:rsidRPr="005354E4">
        <w:rPr>
          <w:rFonts w:cstheme="minorHAnsi"/>
        </w:rPr>
        <w:t xml:space="preserve">des paiements, il rend d’autant plus nécessaire de renforcer la vigilance des utilisateurs, qui sont de plus en plus ciblés par des fraudeurs. À défaut de pouvoir émettre eux-mêmes des paiements frauduleux, </w:t>
      </w:r>
      <w:r w:rsidR="00A86926" w:rsidRPr="005354E4">
        <w:rPr>
          <w:rFonts w:cstheme="minorHAnsi"/>
        </w:rPr>
        <w:t>les fraudeurs</w:t>
      </w:r>
      <w:r w:rsidRPr="005354E4">
        <w:rPr>
          <w:rFonts w:cstheme="minorHAnsi"/>
        </w:rPr>
        <w:t xml:space="preserve"> essayent en effet de manipuler leurs victimes par téléphone ou par </w:t>
      </w:r>
      <w:r w:rsidR="00B41A96" w:rsidRPr="005354E4">
        <w:rPr>
          <w:rFonts w:cstheme="minorHAnsi"/>
        </w:rPr>
        <w:t xml:space="preserve">messagerie instantanée </w:t>
      </w:r>
      <w:r w:rsidRPr="005354E4">
        <w:rPr>
          <w:rFonts w:cstheme="minorHAnsi"/>
        </w:rPr>
        <w:t xml:space="preserve">pour les amener à valider à leur place des </w:t>
      </w:r>
      <w:r w:rsidR="003318B8" w:rsidRPr="005354E4">
        <w:rPr>
          <w:rFonts w:cstheme="minorHAnsi"/>
        </w:rPr>
        <w:t xml:space="preserve">opérations </w:t>
      </w:r>
      <w:r w:rsidR="00A86926" w:rsidRPr="005354E4">
        <w:rPr>
          <w:rFonts w:cstheme="minorHAnsi"/>
        </w:rPr>
        <w:t>frauduleuses</w:t>
      </w:r>
      <w:r w:rsidRPr="005354E4">
        <w:rPr>
          <w:rFonts w:cstheme="minorHAnsi"/>
        </w:rPr>
        <w:t>, en se faisant généralement passer pour leur banque (par exemple, en prétextant des tests de sécurité</w:t>
      </w:r>
      <w:r w:rsidR="00A86926" w:rsidRPr="005354E4">
        <w:rPr>
          <w:rFonts w:cstheme="minorHAnsi"/>
        </w:rPr>
        <w:t>, la lutte contre la fraude</w:t>
      </w:r>
      <w:r w:rsidRPr="005354E4">
        <w:rPr>
          <w:rFonts w:cstheme="minorHAnsi"/>
        </w:rPr>
        <w:t xml:space="preserve"> ou en annonçant une opération atypique sur le compte de la victime nécessitant un contrôle par authentification). Ils parviennent à convaincre leur victime de communiquer des informations leur permettant d’utiliser à distance leurs moyens de paiement. Ils récoltent d’abord des informations sur leur victime grâce aux</w:t>
      </w:r>
      <w:r w:rsidR="00B41A96" w:rsidRPr="005354E4">
        <w:rPr>
          <w:rFonts w:cstheme="minorHAnsi"/>
        </w:rPr>
        <w:t xml:space="preserve"> attaques de type hameçonnage par SMS ou </w:t>
      </w:r>
      <w:r w:rsidR="002C350E" w:rsidRPr="005354E4">
        <w:rPr>
          <w:rFonts w:cstheme="minorHAnsi"/>
        </w:rPr>
        <w:t>message électronique</w:t>
      </w:r>
      <w:r w:rsidR="00B41A96" w:rsidRPr="005354E4">
        <w:rPr>
          <w:rFonts w:cstheme="minorHAnsi"/>
        </w:rPr>
        <w:t xml:space="preserve">, </w:t>
      </w:r>
      <w:r w:rsidR="002C350E" w:rsidRPr="005354E4">
        <w:rPr>
          <w:rFonts w:cstheme="minorHAnsi"/>
        </w:rPr>
        <w:t>au vol de données à des tiers</w:t>
      </w:r>
      <w:r w:rsidR="00B41A96" w:rsidRPr="005354E4">
        <w:rPr>
          <w:rFonts w:cstheme="minorHAnsi"/>
        </w:rPr>
        <w:t xml:space="preserve"> mais aussi grâce aux </w:t>
      </w:r>
      <w:r w:rsidRPr="005354E4">
        <w:rPr>
          <w:rFonts w:cstheme="minorHAnsi"/>
        </w:rPr>
        <w:t>réseaux sociaux et à différentes sources publiques, puis contactent directement</w:t>
      </w:r>
      <w:r w:rsidR="002C350E" w:rsidRPr="005354E4">
        <w:rPr>
          <w:rFonts w:cstheme="minorHAnsi"/>
        </w:rPr>
        <w:t xml:space="preserve"> la victime</w:t>
      </w:r>
      <w:r w:rsidRPr="005354E4">
        <w:rPr>
          <w:rFonts w:cstheme="minorHAnsi"/>
        </w:rPr>
        <w:t xml:space="preserve">. Les fraudeurs ont également recours au </w:t>
      </w:r>
      <w:r w:rsidR="002C350E" w:rsidRPr="005354E4">
        <w:rPr>
          <w:rFonts w:cstheme="minorHAnsi"/>
          <w:i/>
        </w:rPr>
        <w:t>« </w:t>
      </w:r>
      <w:r w:rsidRPr="005354E4">
        <w:rPr>
          <w:rFonts w:cstheme="minorHAnsi"/>
          <w:i/>
        </w:rPr>
        <w:t>spoofing</w:t>
      </w:r>
      <w:r w:rsidR="002C350E" w:rsidRPr="005354E4">
        <w:rPr>
          <w:rFonts w:cstheme="minorHAnsi"/>
          <w:i/>
        </w:rPr>
        <w:t> »</w:t>
      </w:r>
      <w:r w:rsidRPr="005354E4">
        <w:rPr>
          <w:rFonts w:cstheme="minorHAnsi"/>
        </w:rPr>
        <w:t>, c’est-à-dire qu’ils parviennent à usurper le numéro de téléphone d’une agence bancaire afin de rassurer leur victime.</w:t>
      </w:r>
    </w:p>
    <w:p w14:paraId="73CDB6BD" w14:textId="77777777" w:rsidR="006C2A10" w:rsidRPr="005354E4" w:rsidRDefault="001C5B54" w:rsidP="006C2A10">
      <w:pPr>
        <w:jc w:val="both"/>
        <w:rPr>
          <w:rFonts w:cstheme="minorHAnsi"/>
        </w:rPr>
      </w:pPr>
      <w:r w:rsidRPr="005354E4">
        <w:rPr>
          <w:rFonts w:cstheme="minorHAnsi"/>
        </w:rPr>
        <w:lastRenderedPageBreak/>
        <w:t xml:space="preserve">Si l’Observatoire constate que la proportion de paiements frauduleux avec authentification forte </w:t>
      </w:r>
      <w:r w:rsidR="00B41A96" w:rsidRPr="005354E4">
        <w:rPr>
          <w:rFonts w:cstheme="minorHAnsi"/>
        </w:rPr>
        <w:t>est restée</w:t>
      </w:r>
      <w:r w:rsidRPr="005354E4">
        <w:rPr>
          <w:rFonts w:cstheme="minorHAnsi"/>
        </w:rPr>
        <w:t xml:space="preserve"> contenue</w:t>
      </w:r>
      <w:r w:rsidR="00B41A96" w:rsidRPr="005354E4">
        <w:rPr>
          <w:rFonts w:cstheme="minorHAnsi"/>
        </w:rPr>
        <w:t xml:space="preserve"> en 2021</w:t>
      </w:r>
      <w:r w:rsidRPr="005354E4">
        <w:rPr>
          <w:rFonts w:cstheme="minorHAnsi"/>
        </w:rPr>
        <w:t xml:space="preserve">, soit 9 % du nombre total des paiements frauduleux par carte sur internet, leur </w:t>
      </w:r>
      <w:r w:rsidR="002C350E" w:rsidRPr="005354E4">
        <w:rPr>
          <w:rFonts w:cstheme="minorHAnsi"/>
        </w:rPr>
        <w:t>proportion dans le montant total des</w:t>
      </w:r>
      <w:r w:rsidR="00B41A96" w:rsidRPr="005354E4">
        <w:rPr>
          <w:rFonts w:cstheme="minorHAnsi"/>
        </w:rPr>
        <w:t xml:space="preserve"> </w:t>
      </w:r>
      <w:r w:rsidR="002C350E" w:rsidRPr="005354E4">
        <w:rPr>
          <w:rFonts w:cstheme="minorHAnsi"/>
        </w:rPr>
        <w:t xml:space="preserve">opérations frauduleuses </w:t>
      </w:r>
      <w:r w:rsidRPr="005354E4">
        <w:rPr>
          <w:rFonts w:cstheme="minorHAnsi"/>
        </w:rPr>
        <w:t xml:space="preserve">est bien plus </w:t>
      </w:r>
      <w:r w:rsidR="00604AC9" w:rsidRPr="005354E4">
        <w:rPr>
          <w:rFonts w:cstheme="minorHAnsi"/>
        </w:rPr>
        <w:t>significative</w:t>
      </w:r>
      <w:r w:rsidR="00B41A96" w:rsidRPr="005354E4">
        <w:rPr>
          <w:rFonts w:cstheme="minorHAnsi"/>
        </w:rPr>
        <w:t xml:space="preserve"> (30</w:t>
      </w:r>
      <w:r w:rsidR="002C350E" w:rsidRPr="005354E4">
        <w:rPr>
          <w:rFonts w:cstheme="minorHAnsi"/>
        </w:rPr>
        <w:t> </w:t>
      </w:r>
      <w:r w:rsidR="00B41A96" w:rsidRPr="005354E4">
        <w:rPr>
          <w:rFonts w:cstheme="minorHAnsi"/>
        </w:rPr>
        <w:t xml:space="preserve">% </w:t>
      </w:r>
      <w:r w:rsidR="002C350E" w:rsidRPr="005354E4">
        <w:rPr>
          <w:rFonts w:cstheme="minorHAnsi"/>
        </w:rPr>
        <w:t>du montant</w:t>
      </w:r>
      <w:r w:rsidR="00B41A96" w:rsidRPr="005354E4">
        <w:rPr>
          <w:rFonts w:cstheme="minorHAnsi"/>
        </w:rPr>
        <w:t xml:space="preserve"> total de 103 millions d’euros)</w:t>
      </w:r>
      <w:r w:rsidRPr="005354E4">
        <w:rPr>
          <w:rFonts w:cstheme="minorHAnsi"/>
        </w:rPr>
        <w:t>.</w:t>
      </w:r>
    </w:p>
    <w:p w14:paraId="35E8701D" w14:textId="77777777" w:rsidR="001C5B54" w:rsidRPr="005354E4" w:rsidRDefault="00853BE1" w:rsidP="00415730">
      <w:pPr>
        <w:jc w:val="both"/>
        <w:rPr>
          <w:rFonts w:cstheme="minorHAnsi"/>
        </w:rPr>
      </w:pPr>
      <w:r w:rsidRPr="005354E4">
        <w:rPr>
          <w:rFonts w:cstheme="minorHAnsi"/>
        </w:rPr>
        <w:t>Selon les associations de consommateurs, c</w:t>
      </w:r>
      <w:r w:rsidR="006C2A10" w:rsidRPr="005354E4">
        <w:rPr>
          <w:rFonts w:cstheme="minorHAnsi"/>
        </w:rPr>
        <w:t>e nouveau type de fraude entraine</w:t>
      </w:r>
      <w:r w:rsidRPr="005354E4">
        <w:rPr>
          <w:rFonts w:cstheme="minorHAnsi"/>
        </w:rPr>
        <w:t>rait</w:t>
      </w:r>
      <w:r w:rsidR="006C2A10" w:rsidRPr="005354E4">
        <w:rPr>
          <w:rFonts w:cstheme="minorHAnsi"/>
        </w:rPr>
        <w:t xml:space="preserve"> une augmentation du montant d</w:t>
      </w:r>
      <w:r w:rsidRPr="005354E4">
        <w:rPr>
          <w:rFonts w:cstheme="minorHAnsi"/>
        </w:rPr>
        <w:t xml:space="preserve">u préjudice financier supporté par les consommateurs, en dépit de </w:t>
      </w:r>
      <w:r w:rsidR="006C2A10" w:rsidRPr="005354E4">
        <w:rPr>
          <w:rFonts w:cstheme="minorHAnsi"/>
        </w:rPr>
        <w:t xml:space="preserve">la baisse </w:t>
      </w:r>
      <w:r w:rsidRPr="005354E4">
        <w:rPr>
          <w:rFonts w:cstheme="minorHAnsi"/>
        </w:rPr>
        <w:t xml:space="preserve">globale </w:t>
      </w:r>
      <w:r w:rsidR="006C2A10" w:rsidRPr="005354E4">
        <w:rPr>
          <w:rFonts w:cstheme="minorHAnsi"/>
        </w:rPr>
        <w:t xml:space="preserve">de </w:t>
      </w:r>
      <w:r w:rsidRPr="005354E4">
        <w:rPr>
          <w:rFonts w:cstheme="minorHAnsi"/>
        </w:rPr>
        <w:t xml:space="preserve">la </w:t>
      </w:r>
      <w:r w:rsidR="006C2A10" w:rsidRPr="005354E4">
        <w:rPr>
          <w:rFonts w:cstheme="minorHAnsi"/>
        </w:rPr>
        <w:t xml:space="preserve">fraude. </w:t>
      </w:r>
      <w:r w:rsidRPr="005354E4">
        <w:rPr>
          <w:rFonts w:cstheme="minorHAnsi"/>
        </w:rPr>
        <w:t>En effet, a</w:t>
      </w:r>
      <w:r w:rsidR="006C2A10" w:rsidRPr="005354E4">
        <w:rPr>
          <w:rFonts w:cstheme="minorHAnsi"/>
        </w:rPr>
        <w:t xml:space="preserve">vec la mise en œuvre de l’authentification forte, le risque de </w:t>
      </w:r>
      <w:r w:rsidR="002C350E" w:rsidRPr="005354E4">
        <w:rPr>
          <w:rFonts w:cstheme="minorHAnsi"/>
        </w:rPr>
        <w:t>refus</w:t>
      </w:r>
      <w:r w:rsidR="006C2A10" w:rsidRPr="005354E4">
        <w:rPr>
          <w:rFonts w:cstheme="minorHAnsi"/>
        </w:rPr>
        <w:t xml:space="preserve"> </w:t>
      </w:r>
      <w:r w:rsidR="002C350E" w:rsidRPr="005354E4">
        <w:rPr>
          <w:rFonts w:cstheme="minorHAnsi"/>
        </w:rPr>
        <w:t xml:space="preserve">de </w:t>
      </w:r>
      <w:r w:rsidR="006C2A10" w:rsidRPr="005354E4">
        <w:rPr>
          <w:rFonts w:cstheme="minorHAnsi"/>
        </w:rPr>
        <w:t>remboursement </w:t>
      </w:r>
      <w:r w:rsidR="002C350E" w:rsidRPr="005354E4">
        <w:rPr>
          <w:rFonts w:cstheme="minorHAnsi"/>
        </w:rPr>
        <w:t>des opérations frauduleuses</w:t>
      </w:r>
      <w:r w:rsidR="006C2A10" w:rsidRPr="005354E4">
        <w:rPr>
          <w:rFonts w:cstheme="minorHAnsi"/>
        </w:rPr>
        <w:t xml:space="preserve"> par la banque à son client </w:t>
      </w:r>
      <w:r w:rsidR="00C90417" w:rsidRPr="005354E4">
        <w:rPr>
          <w:rFonts w:cstheme="minorHAnsi"/>
        </w:rPr>
        <w:t>est susceptible d’avoir augmenté</w:t>
      </w:r>
      <w:r w:rsidR="006C2A10" w:rsidRPr="005354E4">
        <w:rPr>
          <w:rFonts w:cstheme="minorHAnsi"/>
        </w:rPr>
        <w:t xml:space="preserve"> de manière significative.</w:t>
      </w:r>
      <w:r w:rsidR="001C5B54" w:rsidRPr="005354E4">
        <w:rPr>
          <w:rFonts w:cstheme="minorHAnsi"/>
        </w:rPr>
        <w:t xml:space="preserve"> </w:t>
      </w:r>
    </w:p>
    <w:p w14:paraId="3121E154" w14:textId="77777777" w:rsidR="008B2F1A" w:rsidRPr="005354E4" w:rsidRDefault="006C2A10" w:rsidP="00415730">
      <w:pPr>
        <w:jc w:val="both"/>
        <w:rPr>
          <w:rFonts w:cstheme="minorHAnsi"/>
        </w:rPr>
      </w:pPr>
      <w:r w:rsidRPr="005354E4">
        <w:rPr>
          <w:rFonts w:cstheme="minorHAnsi"/>
        </w:rPr>
        <w:t>À</w:t>
      </w:r>
      <w:r w:rsidR="00567726" w:rsidRPr="005354E4">
        <w:rPr>
          <w:rFonts w:cstheme="minorHAnsi"/>
        </w:rPr>
        <w:t xml:space="preserve"> ce titre</w:t>
      </w:r>
      <w:r w:rsidR="009B01C5" w:rsidRPr="005354E4">
        <w:rPr>
          <w:rFonts w:cstheme="minorHAnsi"/>
        </w:rPr>
        <w:t>, l</w:t>
      </w:r>
      <w:r w:rsidR="008B2F1A" w:rsidRPr="005354E4">
        <w:rPr>
          <w:rFonts w:cstheme="minorHAnsi"/>
        </w:rPr>
        <w:t>a Banque de France et l’O</w:t>
      </w:r>
      <w:r w:rsidR="00567726" w:rsidRPr="005354E4">
        <w:rPr>
          <w:rFonts w:cstheme="minorHAnsi"/>
        </w:rPr>
        <w:t xml:space="preserve">bservatoire de la sécurité des moyens de paiement </w:t>
      </w:r>
      <w:r w:rsidR="008B2F1A" w:rsidRPr="005354E4">
        <w:rPr>
          <w:rFonts w:cstheme="minorHAnsi"/>
        </w:rPr>
        <w:t xml:space="preserve">ont été interpelés par les associations de consommateurs sur les difficultés rencontrées par leurs adhérents pour bénéficier du droit à remboursement en cas de fraude prévu par les textes, en particulier dans les cas où </w:t>
      </w:r>
      <w:r w:rsidR="003318B8" w:rsidRPr="005354E4">
        <w:rPr>
          <w:rFonts w:cstheme="minorHAnsi"/>
        </w:rPr>
        <w:t>l’opération</w:t>
      </w:r>
      <w:r w:rsidR="008B2F1A" w:rsidRPr="005354E4">
        <w:rPr>
          <w:rFonts w:cstheme="minorHAnsi"/>
        </w:rPr>
        <w:t xml:space="preserve"> </w:t>
      </w:r>
      <w:r w:rsidR="002C350E" w:rsidRPr="005354E4">
        <w:rPr>
          <w:rFonts w:cstheme="minorHAnsi"/>
        </w:rPr>
        <w:t>contestée</w:t>
      </w:r>
      <w:r w:rsidR="008B2F1A" w:rsidRPr="005354E4">
        <w:rPr>
          <w:rFonts w:cstheme="minorHAnsi"/>
        </w:rPr>
        <w:t xml:space="preserve"> a fait l’objet d’une authentification forte.</w:t>
      </w:r>
    </w:p>
    <w:p w14:paraId="7BCE105B" w14:textId="77777777" w:rsidR="006C2A10" w:rsidRPr="005354E4" w:rsidRDefault="00BE75B4" w:rsidP="006C2A10">
      <w:pPr>
        <w:jc w:val="both"/>
        <w:rPr>
          <w:rFonts w:cstheme="minorHAnsi"/>
          <w:b/>
        </w:rPr>
      </w:pPr>
      <w:r w:rsidRPr="005354E4">
        <w:rPr>
          <w:rFonts w:cstheme="minorHAnsi"/>
          <w:b/>
        </w:rPr>
        <w:t xml:space="preserve">1.3 </w:t>
      </w:r>
      <w:r w:rsidR="006C2A10" w:rsidRPr="005354E4">
        <w:rPr>
          <w:rFonts w:cstheme="minorHAnsi"/>
          <w:b/>
        </w:rPr>
        <w:t xml:space="preserve">Les travaux conduits par l’Observatoire sur le traitement des contestations pour motif de fraude </w:t>
      </w:r>
    </w:p>
    <w:p w14:paraId="2B565FC8" w14:textId="77777777" w:rsidR="00A5359A" w:rsidRPr="005354E4" w:rsidRDefault="006C2A10" w:rsidP="00415730">
      <w:pPr>
        <w:pStyle w:val="Paragraphedeliste"/>
        <w:ind w:left="0"/>
        <w:jc w:val="both"/>
        <w:rPr>
          <w:rFonts w:cstheme="minorHAnsi"/>
        </w:rPr>
      </w:pPr>
      <w:r w:rsidRPr="005354E4">
        <w:rPr>
          <w:rFonts w:cstheme="minorHAnsi"/>
        </w:rPr>
        <w:t>L</w:t>
      </w:r>
      <w:r w:rsidR="008B2F1A" w:rsidRPr="005354E4">
        <w:rPr>
          <w:rFonts w:cstheme="minorHAnsi"/>
        </w:rPr>
        <w:t xml:space="preserve">’Observatoire a décidé de mettre en place un groupe de travail chargé d’émettre des recommandations sur le traitement des demandes de remboursement </w:t>
      </w:r>
      <w:r w:rsidR="00A86926" w:rsidRPr="005354E4">
        <w:rPr>
          <w:rFonts w:cstheme="minorHAnsi"/>
        </w:rPr>
        <w:t>d’opérations frauduleuses</w:t>
      </w:r>
      <w:r w:rsidR="008B2F1A" w:rsidRPr="005354E4">
        <w:rPr>
          <w:rFonts w:cstheme="minorHAnsi"/>
        </w:rPr>
        <w:t xml:space="preserve"> en vue d’assurer la bonne application des dispositions de la DSP2 en matière de protection des c</w:t>
      </w:r>
      <w:r w:rsidR="00C0195F" w:rsidRPr="005354E4">
        <w:rPr>
          <w:rFonts w:cstheme="minorHAnsi"/>
        </w:rPr>
        <w:t xml:space="preserve">onsommateurs victimes de fraude. </w:t>
      </w:r>
    </w:p>
    <w:p w14:paraId="2BA544B7" w14:textId="77777777" w:rsidR="00C162CA" w:rsidRPr="005354E4" w:rsidRDefault="00C162CA" w:rsidP="00415730">
      <w:pPr>
        <w:pStyle w:val="Paragraphedeliste"/>
        <w:ind w:left="0"/>
        <w:jc w:val="both"/>
        <w:rPr>
          <w:rFonts w:cstheme="minorHAnsi"/>
        </w:rPr>
      </w:pPr>
    </w:p>
    <w:p w14:paraId="7E49D7C6" w14:textId="77777777" w:rsidR="005470FD" w:rsidRPr="005354E4" w:rsidRDefault="005470FD" w:rsidP="00415730">
      <w:pPr>
        <w:pStyle w:val="Paragraphedeliste"/>
        <w:ind w:left="0"/>
        <w:jc w:val="both"/>
        <w:rPr>
          <w:rFonts w:cstheme="minorHAnsi"/>
        </w:rPr>
      </w:pPr>
      <w:r w:rsidRPr="005354E4">
        <w:rPr>
          <w:rFonts w:cstheme="minorHAnsi"/>
        </w:rPr>
        <w:t xml:space="preserve">Le groupe de travail s’est réuni </w:t>
      </w:r>
      <w:r w:rsidR="0068432F" w:rsidRPr="005354E4">
        <w:rPr>
          <w:rFonts w:cstheme="minorHAnsi"/>
        </w:rPr>
        <w:t xml:space="preserve">à </w:t>
      </w:r>
      <w:r w:rsidR="003F7308" w:rsidRPr="005354E4">
        <w:rPr>
          <w:rFonts w:cstheme="minorHAnsi"/>
        </w:rPr>
        <w:t>cinq</w:t>
      </w:r>
      <w:r w:rsidR="0068432F" w:rsidRPr="005354E4">
        <w:rPr>
          <w:rFonts w:cstheme="minorHAnsi"/>
        </w:rPr>
        <w:t xml:space="preserve"> reprises</w:t>
      </w:r>
      <w:r w:rsidR="003F7308" w:rsidRPr="005354E4">
        <w:rPr>
          <w:rFonts w:cstheme="minorHAnsi"/>
        </w:rPr>
        <w:t xml:space="preserve"> entre</w:t>
      </w:r>
      <w:r w:rsidRPr="005354E4">
        <w:rPr>
          <w:rFonts w:cstheme="minorHAnsi"/>
        </w:rPr>
        <w:t xml:space="preserve"> octobre</w:t>
      </w:r>
      <w:r w:rsidR="00567726" w:rsidRPr="005354E4">
        <w:rPr>
          <w:rFonts w:cstheme="minorHAnsi"/>
        </w:rPr>
        <w:t xml:space="preserve"> 2022</w:t>
      </w:r>
      <w:r w:rsidR="0068432F" w:rsidRPr="005354E4">
        <w:rPr>
          <w:rFonts w:cstheme="minorHAnsi"/>
        </w:rPr>
        <w:t xml:space="preserve"> et </w:t>
      </w:r>
      <w:r w:rsidR="003F7308" w:rsidRPr="005354E4">
        <w:rPr>
          <w:rFonts w:cstheme="minorHAnsi"/>
        </w:rPr>
        <w:t>févri</w:t>
      </w:r>
      <w:r w:rsidR="0068432F" w:rsidRPr="005354E4">
        <w:rPr>
          <w:rFonts w:cstheme="minorHAnsi"/>
        </w:rPr>
        <w:t>er 2023</w:t>
      </w:r>
      <w:r w:rsidRPr="005354E4">
        <w:rPr>
          <w:rFonts w:cstheme="minorHAnsi"/>
        </w:rPr>
        <w:t xml:space="preserve">. Les participants à ce groupe de travail représentent les associations de consommateurs, les </w:t>
      </w:r>
      <w:r w:rsidR="00A86926" w:rsidRPr="005354E4">
        <w:rPr>
          <w:rFonts w:cstheme="minorHAnsi"/>
        </w:rPr>
        <w:t>prestataires de services de paiement, leurs fédérations professionnelles</w:t>
      </w:r>
      <w:r w:rsidRPr="005354E4">
        <w:rPr>
          <w:rFonts w:cstheme="minorHAnsi"/>
        </w:rPr>
        <w:t>, les médiateurs</w:t>
      </w:r>
      <w:r w:rsidR="00567726" w:rsidRPr="005354E4">
        <w:rPr>
          <w:rFonts w:cstheme="minorHAnsi"/>
        </w:rPr>
        <w:t xml:space="preserve"> et</w:t>
      </w:r>
      <w:r w:rsidRPr="005354E4">
        <w:rPr>
          <w:rFonts w:cstheme="minorHAnsi"/>
        </w:rPr>
        <w:t xml:space="preserve"> les autorités (</w:t>
      </w:r>
      <w:r w:rsidR="00766595" w:rsidRPr="005354E4">
        <w:rPr>
          <w:rFonts w:cstheme="minorHAnsi"/>
        </w:rPr>
        <w:t xml:space="preserve">police, </w:t>
      </w:r>
      <w:r w:rsidR="00567726" w:rsidRPr="005354E4">
        <w:rPr>
          <w:rFonts w:cstheme="minorHAnsi"/>
        </w:rPr>
        <w:t xml:space="preserve">gendarmerie, </w:t>
      </w:r>
      <w:r w:rsidRPr="005354E4">
        <w:rPr>
          <w:rFonts w:cstheme="minorHAnsi"/>
        </w:rPr>
        <w:t xml:space="preserve">ACPR, Banque de </w:t>
      </w:r>
      <w:r w:rsidR="00567726" w:rsidRPr="005354E4">
        <w:rPr>
          <w:rFonts w:cstheme="minorHAnsi"/>
        </w:rPr>
        <w:t>France)</w:t>
      </w:r>
      <w:r w:rsidRPr="005354E4">
        <w:rPr>
          <w:rFonts w:cstheme="minorHAnsi"/>
        </w:rPr>
        <w:t>.</w:t>
      </w:r>
    </w:p>
    <w:p w14:paraId="71E7C914" w14:textId="77777777" w:rsidR="006C2A10" w:rsidRPr="005354E4" w:rsidRDefault="006C2A10" w:rsidP="00415730">
      <w:pPr>
        <w:pStyle w:val="Paragraphedeliste"/>
        <w:ind w:left="0"/>
        <w:jc w:val="both"/>
        <w:rPr>
          <w:rFonts w:cstheme="minorHAnsi"/>
        </w:rPr>
      </w:pPr>
    </w:p>
    <w:p w14:paraId="6419F1BC" w14:textId="77777777" w:rsidR="00DB5CE3" w:rsidRPr="005354E4" w:rsidRDefault="002B079E" w:rsidP="00415730">
      <w:pPr>
        <w:pStyle w:val="Paragraphedeliste"/>
        <w:ind w:left="0"/>
        <w:jc w:val="both"/>
        <w:rPr>
          <w:rFonts w:cstheme="minorHAnsi"/>
        </w:rPr>
      </w:pPr>
      <w:r w:rsidRPr="005354E4">
        <w:rPr>
          <w:rFonts w:cstheme="minorHAnsi"/>
        </w:rPr>
        <w:t>Le secrétariat du groupe de travail a défini les éléments en entrée ainsi que les livrables attendus en sortie.</w:t>
      </w:r>
      <w:r w:rsidR="007E392F" w:rsidRPr="005354E4">
        <w:rPr>
          <w:rFonts w:cstheme="minorHAnsi"/>
        </w:rPr>
        <w:t xml:space="preserve"> </w:t>
      </w:r>
    </w:p>
    <w:tbl>
      <w:tblPr>
        <w:tblStyle w:val="Grilledutableau"/>
        <w:tblpPr w:leftFromText="141" w:rightFromText="141" w:vertAnchor="text" w:horzAnchor="margin" w:tblpY="219"/>
        <w:tblW w:w="0" w:type="auto"/>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tblLook w:val="04A0" w:firstRow="1" w:lastRow="0" w:firstColumn="1" w:lastColumn="0" w:noHBand="0" w:noVBand="1"/>
      </w:tblPr>
      <w:tblGrid>
        <w:gridCol w:w="4530"/>
        <w:gridCol w:w="4530"/>
      </w:tblGrid>
      <w:tr w:rsidR="00250DBC" w:rsidRPr="005354E4" w14:paraId="22D52925" w14:textId="77777777" w:rsidTr="00B130D2">
        <w:tc>
          <w:tcPr>
            <w:tcW w:w="4531" w:type="dxa"/>
            <w:shd w:val="clear" w:color="auto" w:fill="000099"/>
          </w:tcPr>
          <w:p w14:paraId="525BA1AC" w14:textId="77777777" w:rsidR="00250DBC" w:rsidRPr="005354E4" w:rsidRDefault="00250DBC" w:rsidP="00250DBC">
            <w:pPr>
              <w:pStyle w:val="Paragraphedeliste"/>
              <w:jc w:val="both"/>
              <w:rPr>
                <w:rFonts w:cstheme="minorHAnsi"/>
              </w:rPr>
            </w:pPr>
            <w:r w:rsidRPr="005354E4">
              <w:rPr>
                <w:rFonts w:cstheme="minorHAnsi"/>
                <w:b/>
                <w:bCs/>
              </w:rPr>
              <w:t>Éléments en entrée</w:t>
            </w:r>
          </w:p>
        </w:tc>
        <w:tc>
          <w:tcPr>
            <w:tcW w:w="4531" w:type="dxa"/>
            <w:shd w:val="clear" w:color="auto" w:fill="000099"/>
          </w:tcPr>
          <w:p w14:paraId="20561E4D" w14:textId="77777777" w:rsidR="00250DBC" w:rsidRPr="005354E4" w:rsidRDefault="00250DBC" w:rsidP="00250DBC">
            <w:pPr>
              <w:pStyle w:val="Paragraphedeliste"/>
              <w:jc w:val="both"/>
              <w:rPr>
                <w:rFonts w:cstheme="minorHAnsi"/>
              </w:rPr>
            </w:pPr>
            <w:r w:rsidRPr="005354E4">
              <w:rPr>
                <w:rFonts w:cstheme="minorHAnsi"/>
                <w:b/>
                <w:bCs/>
              </w:rPr>
              <w:t>Livrables attendus en sortie</w:t>
            </w:r>
          </w:p>
        </w:tc>
      </w:tr>
      <w:tr w:rsidR="00250DBC" w:rsidRPr="005354E4" w14:paraId="11F9FC36" w14:textId="77777777" w:rsidTr="00B130D2">
        <w:tc>
          <w:tcPr>
            <w:tcW w:w="4531" w:type="dxa"/>
          </w:tcPr>
          <w:p w14:paraId="66983A9E" w14:textId="77777777" w:rsidR="00250DBC" w:rsidRPr="005354E4" w:rsidRDefault="00250DBC" w:rsidP="00250DBC">
            <w:pPr>
              <w:pStyle w:val="Paragraphedeliste"/>
              <w:jc w:val="both"/>
              <w:rPr>
                <w:rFonts w:cstheme="minorHAnsi"/>
              </w:rPr>
            </w:pPr>
          </w:p>
          <w:p w14:paraId="790DB8DB" w14:textId="77777777" w:rsidR="00250DBC" w:rsidRPr="005354E4" w:rsidRDefault="00250DBC" w:rsidP="00250DBC">
            <w:pPr>
              <w:pStyle w:val="Paragraphedeliste"/>
              <w:numPr>
                <w:ilvl w:val="0"/>
                <w:numId w:val="10"/>
              </w:numPr>
              <w:ind w:right="317"/>
              <w:jc w:val="both"/>
              <w:rPr>
                <w:rFonts w:cstheme="minorHAnsi"/>
              </w:rPr>
            </w:pPr>
            <w:r w:rsidRPr="005354E4">
              <w:rPr>
                <w:rFonts w:cstheme="minorHAnsi"/>
              </w:rPr>
              <w:t>Réglementation et jurisprudence applicable</w:t>
            </w:r>
            <w:r w:rsidR="00A86926" w:rsidRPr="005354E4">
              <w:rPr>
                <w:rFonts w:cstheme="minorHAnsi"/>
              </w:rPr>
              <w:t>s</w:t>
            </w:r>
            <w:r w:rsidRPr="005354E4">
              <w:rPr>
                <w:rFonts w:cstheme="minorHAnsi"/>
              </w:rPr>
              <w:t xml:space="preserve"> au traitement des contestations</w:t>
            </w:r>
          </w:p>
          <w:p w14:paraId="1E799442" w14:textId="77777777" w:rsidR="00250DBC" w:rsidRPr="005354E4" w:rsidRDefault="00250DBC" w:rsidP="00250DBC">
            <w:pPr>
              <w:pStyle w:val="Paragraphedeliste"/>
              <w:numPr>
                <w:ilvl w:val="0"/>
                <w:numId w:val="10"/>
              </w:numPr>
              <w:ind w:right="317"/>
              <w:jc w:val="both"/>
              <w:rPr>
                <w:rFonts w:cstheme="minorHAnsi"/>
              </w:rPr>
            </w:pPr>
            <w:r w:rsidRPr="005354E4">
              <w:rPr>
                <w:rFonts w:cstheme="minorHAnsi"/>
              </w:rPr>
              <w:t>Identification des développements récents en matière de typologie des cas de fraude</w:t>
            </w:r>
          </w:p>
          <w:p w14:paraId="393974A1" w14:textId="77777777" w:rsidR="00250DBC" w:rsidRPr="005354E4" w:rsidRDefault="00250DBC" w:rsidP="00250DBC">
            <w:pPr>
              <w:pStyle w:val="Paragraphedeliste"/>
              <w:numPr>
                <w:ilvl w:val="0"/>
                <w:numId w:val="10"/>
              </w:numPr>
              <w:ind w:right="317"/>
              <w:jc w:val="both"/>
              <w:rPr>
                <w:rFonts w:cstheme="minorHAnsi"/>
              </w:rPr>
            </w:pPr>
            <w:r w:rsidRPr="005354E4">
              <w:rPr>
                <w:rFonts w:cstheme="minorHAnsi"/>
              </w:rPr>
              <w:t>Expérience des médiateurs bancaires et des associations de consommateurs sur des demandes</w:t>
            </w:r>
            <w:r w:rsidR="0068432F" w:rsidRPr="005354E4">
              <w:rPr>
                <w:rFonts w:cstheme="minorHAnsi"/>
              </w:rPr>
              <w:t xml:space="preserve"> non satisfaites </w:t>
            </w:r>
            <w:r w:rsidRPr="005354E4">
              <w:rPr>
                <w:rFonts w:cstheme="minorHAnsi"/>
              </w:rPr>
              <w:t xml:space="preserve">de remboursement pour motif de fraude </w:t>
            </w:r>
          </w:p>
          <w:p w14:paraId="6C3C175B" w14:textId="77777777" w:rsidR="00250DBC" w:rsidRPr="005354E4" w:rsidRDefault="003318B8" w:rsidP="00250DBC">
            <w:pPr>
              <w:pStyle w:val="Paragraphedeliste"/>
              <w:numPr>
                <w:ilvl w:val="0"/>
                <w:numId w:val="10"/>
              </w:numPr>
              <w:ind w:right="317"/>
              <w:jc w:val="both"/>
              <w:rPr>
                <w:rFonts w:cstheme="minorHAnsi"/>
              </w:rPr>
            </w:pPr>
            <w:r w:rsidRPr="005354E4">
              <w:rPr>
                <w:rFonts w:cstheme="minorHAnsi"/>
              </w:rPr>
              <w:t xml:space="preserve">Synthèse des contrôles </w:t>
            </w:r>
            <w:r w:rsidR="00250DBC" w:rsidRPr="005354E4">
              <w:rPr>
                <w:rFonts w:cstheme="minorHAnsi"/>
              </w:rPr>
              <w:t>sur place conduits par l’ACPR concernant le traitement des demandes de remboursement des clients pour motif de fraude</w:t>
            </w:r>
          </w:p>
          <w:p w14:paraId="5858FA37" w14:textId="77777777" w:rsidR="00250DBC" w:rsidRPr="005354E4" w:rsidRDefault="00250DBC" w:rsidP="00250DBC">
            <w:pPr>
              <w:pStyle w:val="Paragraphedeliste"/>
              <w:jc w:val="both"/>
              <w:rPr>
                <w:rFonts w:cstheme="minorHAnsi"/>
              </w:rPr>
            </w:pPr>
          </w:p>
        </w:tc>
        <w:tc>
          <w:tcPr>
            <w:tcW w:w="4531" w:type="dxa"/>
          </w:tcPr>
          <w:p w14:paraId="6883E911" w14:textId="77777777" w:rsidR="00250DBC" w:rsidRPr="005354E4" w:rsidRDefault="00250DBC" w:rsidP="00250DBC">
            <w:pPr>
              <w:pStyle w:val="Paragraphedeliste"/>
              <w:jc w:val="both"/>
              <w:rPr>
                <w:rFonts w:cstheme="minorHAnsi"/>
              </w:rPr>
            </w:pPr>
          </w:p>
          <w:p w14:paraId="27913042" w14:textId="77777777" w:rsidR="00250DBC" w:rsidRPr="005354E4" w:rsidRDefault="00250DBC" w:rsidP="00250DBC">
            <w:pPr>
              <w:pStyle w:val="Paragraphedeliste"/>
              <w:numPr>
                <w:ilvl w:val="0"/>
                <w:numId w:val="11"/>
              </w:numPr>
              <w:ind w:right="317"/>
              <w:jc w:val="both"/>
              <w:rPr>
                <w:rFonts w:cstheme="minorHAnsi"/>
              </w:rPr>
            </w:pPr>
            <w:r w:rsidRPr="005354E4">
              <w:rPr>
                <w:rFonts w:cstheme="minorHAnsi"/>
              </w:rPr>
              <w:t>Rappel des règles applicables en matière de traitement des demandes de remboursement pour motif de fraude</w:t>
            </w:r>
          </w:p>
          <w:p w14:paraId="07F509DB" w14:textId="77777777" w:rsidR="00250DBC" w:rsidRPr="005354E4" w:rsidRDefault="00250DBC" w:rsidP="00250DBC">
            <w:pPr>
              <w:pStyle w:val="Paragraphedeliste"/>
              <w:numPr>
                <w:ilvl w:val="0"/>
                <w:numId w:val="11"/>
              </w:numPr>
              <w:ind w:right="317"/>
              <w:jc w:val="both"/>
              <w:rPr>
                <w:rFonts w:cstheme="minorHAnsi"/>
              </w:rPr>
            </w:pPr>
            <w:r w:rsidRPr="005354E4">
              <w:rPr>
                <w:rFonts w:cstheme="minorHAnsi"/>
              </w:rPr>
              <w:t>Grille d’analyse des demandes de remboursement (identifier les cas pour lesquels un remboursement immédiat devrait être systématique)</w:t>
            </w:r>
          </w:p>
          <w:p w14:paraId="5E87BAAC" w14:textId="77777777" w:rsidR="003C6873" w:rsidRPr="005354E4" w:rsidRDefault="003C6873" w:rsidP="003C6873">
            <w:pPr>
              <w:pStyle w:val="Paragraphedeliste"/>
              <w:numPr>
                <w:ilvl w:val="0"/>
                <w:numId w:val="11"/>
              </w:numPr>
              <w:ind w:right="317"/>
              <w:jc w:val="both"/>
              <w:rPr>
                <w:rFonts w:cstheme="minorHAnsi"/>
              </w:rPr>
            </w:pPr>
            <w:r w:rsidRPr="005354E4">
              <w:rPr>
                <w:rFonts w:cstheme="minorHAnsi"/>
              </w:rPr>
              <w:t>Recommandations sur le traitement des demandes de remboursement pour motif de fraude</w:t>
            </w:r>
          </w:p>
          <w:p w14:paraId="18114775" w14:textId="77777777" w:rsidR="00250DBC" w:rsidRPr="005354E4" w:rsidRDefault="00250DBC" w:rsidP="00250DBC">
            <w:pPr>
              <w:pStyle w:val="Paragraphedeliste"/>
              <w:numPr>
                <w:ilvl w:val="0"/>
                <w:numId w:val="11"/>
              </w:numPr>
              <w:ind w:right="317"/>
              <w:jc w:val="both"/>
              <w:rPr>
                <w:rFonts w:cstheme="minorHAnsi"/>
              </w:rPr>
            </w:pPr>
            <w:r w:rsidRPr="005354E4">
              <w:rPr>
                <w:rFonts w:cstheme="minorHAnsi"/>
              </w:rPr>
              <w:t>Revue des motifs identifiés dans le cadre des déclarations à la Banque de France au titre de l’article L.133-18 du CMF</w:t>
            </w:r>
            <w:r w:rsidR="003C6873" w:rsidRPr="005354E4">
              <w:rPr>
                <w:rFonts w:cstheme="minorHAnsi"/>
              </w:rPr>
              <w:t xml:space="preserve"> </w:t>
            </w:r>
            <w:r w:rsidR="003C6873" w:rsidRPr="005354E4">
              <w:rPr>
                <w:rFonts w:cstheme="minorHAnsi"/>
                <w:i/>
                <w:color w:val="000099"/>
              </w:rPr>
              <w:t>(à engager à l’issue de la publication des recommandations présentées dans ce document)</w:t>
            </w:r>
          </w:p>
          <w:p w14:paraId="69EF075A" w14:textId="77777777" w:rsidR="00250DBC" w:rsidRPr="005354E4" w:rsidRDefault="00250DBC" w:rsidP="00604AC9">
            <w:pPr>
              <w:pStyle w:val="Paragraphedeliste"/>
              <w:ind w:right="317"/>
              <w:jc w:val="both"/>
              <w:rPr>
                <w:rFonts w:cstheme="minorHAnsi"/>
              </w:rPr>
            </w:pPr>
          </w:p>
        </w:tc>
      </w:tr>
    </w:tbl>
    <w:p w14:paraId="3E4D6867" w14:textId="77777777" w:rsidR="00F357D9" w:rsidRPr="005354E4" w:rsidRDefault="00796410" w:rsidP="00944484">
      <w:pPr>
        <w:pStyle w:val="Titre1"/>
        <w:numPr>
          <w:ilvl w:val="0"/>
          <w:numId w:val="8"/>
        </w:numPr>
        <w:pBdr>
          <w:top w:val="single" w:sz="4" w:space="1" w:color="000099"/>
          <w:bottom w:val="single" w:sz="4" w:space="1" w:color="000099"/>
        </w:pBdr>
        <w:jc w:val="both"/>
        <w:rPr>
          <w:rFonts w:asciiTheme="minorHAnsi" w:hAnsiTheme="minorHAnsi" w:cstheme="minorHAnsi"/>
          <w:b w:val="0"/>
          <w:smallCaps/>
          <w:color w:val="000099"/>
          <w:sz w:val="28"/>
        </w:rPr>
      </w:pPr>
      <w:r w:rsidRPr="005354E4">
        <w:rPr>
          <w:rFonts w:asciiTheme="minorHAnsi" w:hAnsiTheme="minorHAnsi" w:cstheme="minorHAnsi"/>
          <w:b w:val="0"/>
          <w:smallCaps/>
          <w:color w:val="000099"/>
          <w:sz w:val="28"/>
        </w:rPr>
        <w:t xml:space="preserve">Réglementation applicable aux </w:t>
      </w:r>
      <w:r w:rsidR="00B8749F" w:rsidRPr="005354E4">
        <w:rPr>
          <w:rFonts w:asciiTheme="minorHAnsi" w:hAnsiTheme="minorHAnsi" w:cstheme="minorHAnsi"/>
          <w:b w:val="0"/>
          <w:smallCaps/>
          <w:color w:val="000099"/>
          <w:sz w:val="28"/>
        </w:rPr>
        <w:t>contestation</w:t>
      </w:r>
      <w:r w:rsidR="0068432F" w:rsidRPr="005354E4">
        <w:rPr>
          <w:rFonts w:asciiTheme="minorHAnsi" w:hAnsiTheme="minorHAnsi" w:cstheme="minorHAnsi"/>
          <w:b w:val="0"/>
          <w:smallCaps/>
          <w:color w:val="000099"/>
          <w:sz w:val="28"/>
        </w:rPr>
        <w:t>s</w:t>
      </w:r>
      <w:r w:rsidR="00B8749F" w:rsidRPr="005354E4">
        <w:rPr>
          <w:rFonts w:asciiTheme="minorHAnsi" w:hAnsiTheme="minorHAnsi" w:cstheme="minorHAnsi"/>
          <w:b w:val="0"/>
          <w:smallCaps/>
          <w:color w:val="000099"/>
          <w:sz w:val="28"/>
        </w:rPr>
        <w:t xml:space="preserve"> d’opération</w:t>
      </w:r>
      <w:r w:rsidR="0068432F" w:rsidRPr="005354E4">
        <w:rPr>
          <w:rFonts w:asciiTheme="minorHAnsi" w:hAnsiTheme="minorHAnsi" w:cstheme="minorHAnsi"/>
          <w:b w:val="0"/>
          <w:smallCaps/>
          <w:color w:val="000099"/>
          <w:sz w:val="28"/>
        </w:rPr>
        <w:t>s de paiement</w:t>
      </w:r>
    </w:p>
    <w:p w14:paraId="3AAB0784" w14:textId="77777777" w:rsidR="001E18D4" w:rsidRPr="005354E4" w:rsidRDefault="001E18D4" w:rsidP="00373761">
      <w:pPr>
        <w:spacing w:after="0"/>
        <w:jc w:val="both"/>
        <w:rPr>
          <w:rFonts w:cstheme="minorHAnsi"/>
        </w:rPr>
      </w:pPr>
    </w:p>
    <w:p w14:paraId="4E4C3376" w14:textId="77777777" w:rsidR="00940201" w:rsidRPr="005354E4" w:rsidRDefault="00BE75B4" w:rsidP="001867B3">
      <w:pPr>
        <w:jc w:val="both"/>
        <w:rPr>
          <w:rFonts w:cstheme="minorHAnsi"/>
          <w:b/>
        </w:rPr>
      </w:pPr>
      <w:r w:rsidRPr="005354E4">
        <w:rPr>
          <w:rFonts w:cstheme="minorHAnsi"/>
          <w:b/>
        </w:rPr>
        <w:t xml:space="preserve">2.1 </w:t>
      </w:r>
      <w:r w:rsidR="00940201" w:rsidRPr="005354E4">
        <w:rPr>
          <w:rFonts w:cstheme="minorHAnsi"/>
          <w:b/>
        </w:rPr>
        <w:t>Le caractère « autorisé » de la transaction comme facteur déterminant</w:t>
      </w:r>
    </w:p>
    <w:p w14:paraId="5C5F0DE8" w14:textId="77777777" w:rsidR="001867B3" w:rsidRPr="005354E4" w:rsidRDefault="00FE550F" w:rsidP="001867B3">
      <w:pPr>
        <w:jc w:val="both"/>
        <w:rPr>
          <w:rFonts w:cstheme="minorHAnsi"/>
        </w:rPr>
      </w:pPr>
      <w:r w:rsidRPr="005354E4">
        <w:rPr>
          <w:rFonts w:cstheme="minorHAnsi"/>
        </w:rPr>
        <w:t>Selon le code monétaire et financier (CMF), le remboursement d’une opération contestée</w:t>
      </w:r>
      <w:r w:rsidR="00E75A1F" w:rsidRPr="005354E4">
        <w:rPr>
          <w:rFonts w:cstheme="minorHAnsi"/>
        </w:rPr>
        <w:t xml:space="preserve"> </w:t>
      </w:r>
      <w:r w:rsidR="00B8749F" w:rsidRPr="005354E4">
        <w:rPr>
          <w:rFonts w:cstheme="minorHAnsi"/>
        </w:rPr>
        <w:t>est conditionné par le fait qu’</w:t>
      </w:r>
      <w:r w:rsidR="00E75A1F" w:rsidRPr="005354E4">
        <w:rPr>
          <w:rFonts w:cstheme="minorHAnsi"/>
        </w:rPr>
        <w:t>elle a</w:t>
      </w:r>
      <w:r w:rsidR="00B8749F" w:rsidRPr="005354E4">
        <w:rPr>
          <w:rFonts w:cstheme="minorHAnsi"/>
        </w:rPr>
        <w:t>it</w:t>
      </w:r>
      <w:r w:rsidR="00E75A1F" w:rsidRPr="005354E4">
        <w:rPr>
          <w:rFonts w:cstheme="minorHAnsi"/>
        </w:rPr>
        <w:t xml:space="preserve"> été autorisée ou non</w:t>
      </w:r>
      <w:r w:rsidR="004A0FA1" w:rsidRPr="005354E4">
        <w:rPr>
          <w:rFonts w:cstheme="minorHAnsi"/>
        </w:rPr>
        <w:t xml:space="preserve"> par le payeur</w:t>
      </w:r>
      <w:r w:rsidR="0068432F" w:rsidRPr="005354E4">
        <w:rPr>
          <w:rStyle w:val="Appelnotedebasdep"/>
          <w:rFonts w:cstheme="minorHAnsi"/>
        </w:rPr>
        <w:footnoteReference w:id="3"/>
      </w:r>
      <w:r w:rsidR="004A0FA1" w:rsidRPr="005354E4">
        <w:rPr>
          <w:rFonts w:cstheme="minorHAnsi"/>
        </w:rPr>
        <w:t xml:space="preserve">, c’est-à-dire si celui-ci a </w:t>
      </w:r>
      <w:r w:rsidR="00E37930" w:rsidRPr="005354E4">
        <w:rPr>
          <w:rFonts w:cstheme="minorHAnsi"/>
        </w:rPr>
        <w:t xml:space="preserve">explicitement </w:t>
      </w:r>
      <w:r w:rsidR="004A0FA1" w:rsidRPr="005354E4">
        <w:rPr>
          <w:rFonts w:cstheme="minorHAnsi"/>
        </w:rPr>
        <w:t>donné son consenteme</w:t>
      </w:r>
      <w:r w:rsidR="00C12ED1" w:rsidRPr="005354E4">
        <w:rPr>
          <w:rFonts w:cstheme="minorHAnsi"/>
        </w:rPr>
        <w:t>nt à son exécution dans les conditions prévues par sa convention de compte, notamment par l’utilisation du moyen d’authentification forte mis à sa disposition</w:t>
      </w:r>
      <w:r w:rsidR="00E75A1F" w:rsidRPr="005354E4">
        <w:rPr>
          <w:rFonts w:cstheme="minorHAnsi"/>
        </w:rPr>
        <w:t>.</w:t>
      </w:r>
    </w:p>
    <w:p w14:paraId="45A56788" w14:textId="77777777" w:rsidR="002126E7" w:rsidRPr="005354E4" w:rsidRDefault="001867B3" w:rsidP="005A702D">
      <w:pPr>
        <w:jc w:val="both"/>
        <w:rPr>
          <w:rFonts w:cstheme="minorHAnsi"/>
        </w:rPr>
      </w:pPr>
      <w:r w:rsidRPr="005354E4">
        <w:rPr>
          <w:rFonts w:cstheme="minorHAnsi"/>
        </w:rPr>
        <w:t>Le schéma ci-dessous illustre l’articulation des textes relatifs aux opérations contestées dans</w:t>
      </w:r>
      <w:r w:rsidR="00373761" w:rsidRPr="005354E4">
        <w:rPr>
          <w:rFonts w:cstheme="minorHAnsi"/>
        </w:rPr>
        <w:t xml:space="preserve"> le code monétaire et financier.</w:t>
      </w:r>
    </w:p>
    <w:p w14:paraId="7581959C" w14:textId="77777777" w:rsidR="005A702D" w:rsidRPr="005354E4" w:rsidRDefault="005A702D" w:rsidP="005A702D">
      <w:pPr>
        <w:jc w:val="both"/>
        <w:rPr>
          <w:rFonts w:cstheme="minorHAnsi"/>
        </w:rPr>
      </w:pPr>
    </w:p>
    <w:p w14:paraId="07556D46" w14:textId="77777777" w:rsidR="00B04011" w:rsidRPr="005354E4" w:rsidRDefault="0049480C" w:rsidP="0049480C">
      <w:pPr>
        <w:jc w:val="center"/>
        <w:rPr>
          <w:rFonts w:cstheme="minorHAnsi"/>
        </w:rPr>
      </w:pPr>
      <w:r w:rsidRPr="005354E4">
        <w:rPr>
          <w:noProof/>
          <w:lang w:eastAsia="fr-FR"/>
        </w:rPr>
        <w:drawing>
          <wp:inline distT="0" distB="0" distL="0" distR="0" wp14:anchorId="03E7636A" wp14:editId="5EDD91A1">
            <wp:extent cx="4248150" cy="52959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8150" cy="5295900"/>
                    </a:xfrm>
                    <a:prstGeom prst="rect">
                      <a:avLst/>
                    </a:prstGeom>
                    <a:noFill/>
                    <a:ln>
                      <a:noFill/>
                    </a:ln>
                  </pic:spPr>
                </pic:pic>
              </a:graphicData>
            </a:graphic>
          </wp:inline>
        </w:drawing>
      </w:r>
    </w:p>
    <w:p w14:paraId="734DC39C" w14:textId="77777777" w:rsidR="00B04011" w:rsidRPr="005354E4" w:rsidRDefault="00B04011" w:rsidP="002126E7">
      <w:pPr>
        <w:pStyle w:val="Paragraphedeliste"/>
        <w:ind w:left="360"/>
        <w:jc w:val="both"/>
        <w:rPr>
          <w:rFonts w:cstheme="minorHAnsi"/>
        </w:rPr>
      </w:pPr>
    </w:p>
    <w:p w14:paraId="095625D2" w14:textId="77777777" w:rsidR="002126E7" w:rsidRPr="005354E4" w:rsidRDefault="002126E7" w:rsidP="00604AC9">
      <w:pPr>
        <w:pStyle w:val="Paragraphedeliste"/>
        <w:numPr>
          <w:ilvl w:val="0"/>
          <w:numId w:val="48"/>
        </w:numPr>
        <w:ind w:left="357" w:hanging="357"/>
        <w:contextualSpacing w:val="0"/>
        <w:jc w:val="both"/>
        <w:rPr>
          <w:rFonts w:cstheme="minorHAnsi"/>
        </w:rPr>
      </w:pPr>
      <w:r w:rsidRPr="005354E4">
        <w:rPr>
          <w:rFonts w:cstheme="minorHAnsi"/>
          <w:b/>
        </w:rPr>
        <w:t>Si l’opération est reconnue comme « autorisée »</w:t>
      </w:r>
      <w:r w:rsidR="000F1805" w:rsidRPr="005354E4">
        <w:rPr>
          <w:rFonts w:cstheme="minorHAnsi"/>
          <w:b/>
        </w:rPr>
        <w:t xml:space="preserve"> et qu’elle n’a pas été affectée par une erreur d’exécution de la part du prestataire de services de paiement du payeur</w:t>
      </w:r>
      <w:r w:rsidRPr="005354E4">
        <w:rPr>
          <w:rFonts w:cstheme="minorHAnsi"/>
          <w:b/>
        </w:rPr>
        <w:t>, la réglementation relative aux moyens de paiement ne prévoit pas de droit à remboursement</w:t>
      </w:r>
      <w:r w:rsidRPr="005354E4">
        <w:rPr>
          <w:rFonts w:cstheme="minorHAnsi"/>
        </w:rPr>
        <w:t>. C’est le cas notamment pour les demandes de remboursement pour cause de litige commercial entre le payeur et le bénéficiaire (par exemple : non livraison ou malfaçon d’un produit, souscription d’un produit</w:t>
      </w:r>
      <w:r w:rsidR="00E760F3" w:rsidRPr="005354E4">
        <w:rPr>
          <w:rFonts w:cstheme="minorHAnsi"/>
        </w:rPr>
        <w:t xml:space="preserve"> d’épargne, de crédit</w:t>
      </w:r>
      <w:r w:rsidRPr="005354E4">
        <w:rPr>
          <w:rFonts w:cstheme="minorHAnsi"/>
        </w:rPr>
        <w:t xml:space="preserve"> ou </w:t>
      </w:r>
      <w:r w:rsidR="00E760F3" w:rsidRPr="005354E4">
        <w:rPr>
          <w:rFonts w:cstheme="minorHAnsi"/>
        </w:rPr>
        <w:t xml:space="preserve">d’un </w:t>
      </w:r>
      <w:r w:rsidRPr="005354E4">
        <w:rPr>
          <w:rFonts w:cstheme="minorHAnsi"/>
        </w:rPr>
        <w:t xml:space="preserve">service financier auprès d’un intermédiaire malveillant…). </w:t>
      </w:r>
      <w:r w:rsidRPr="005354E4">
        <w:rPr>
          <w:rFonts w:cstheme="minorHAnsi"/>
          <w:b/>
        </w:rPr>
        <w:t xml:space="preserve">À défaut de droit à remboursement prévu par la réglementation, la qualification de l’opération comme « autorisée » n’empêche pas une </w:t>
      </w:r>
      <w:r w:rsidR="00E760F3" w:rsidRPr="005354E4">
        <w:rPr>
          <w:rFonts w:cstheme="minorHAnsi"/>
          <w:b/>
        </w:rPr>
        <w:t>réclamation</w:t>
      </w:r>
      <w:r w:rsidR="000F1805" w:rsidRPr="005354E4">
        <w:rPr>
          <w:rFonts w:cstheme="minorHAnsi"/>
          <w:b/>
        </w:rPr>
        <w:t xml:space="preserve"> à l’encontre du bénéficiaire</w:t>
      </w:r>
      <w:r w:rsidR="00E760F3" w:rsidRPr="005354E4">
        <w:rPr>
          <w:rFonts w:cstheme="minorHAnsi"/>
          <w:b/>
        </w:rPr>
        <w:t>, voire une action civile ou pénale</w:t>
      </w:r>
      <w:r w:rsidRPr="005354E4">
        <w:rPr>
          <w:rFonts w:cstheme="minorHAnsi"/>
        </w:rPr>
        <w:t xml:space="preserve">. </w:t>
      </w:r>
    </w:p>
    <w:p w14:paraId="48F59D5D" w14:textId="77777777" w:rsidR="002126E7" w:rsidRPr="005354E4" w:rsidRDefault="002126E7" w:rsidP="002126E7">
      <w:pPr>
        <w:pStyle w:val="Paragraphedeliste"/>
        <w:numPr>
          <w:ilvl w:val="0"/>
          <w:numId w:val="48"/>
        </w:numPr>
        <w:ind w:left="360"/>
        <w:jc w:val="both"/>
        <w:rPr>
          <w:rFonts w:cstheme="minorHAnsi"/>
        </w:rPr>
      </w:pPr>
      <w:r w:rsidRPr="005354E4">
        <w:rPr>
          <w:rFonts w:cstheme="minorHAnsi"/>
          <w:b/>
        </w:rPr>
        <w:t>Si l’opération est reconnue comme « non autorisée », le payeur dispose en règle générale d’un droit à remboursement immédiat prévu par le Code monétaire et financier</w:t>
      </w:r>
      <w:r w:rsidRPr="005354E4">
        <w:rPr>
          <w:rFonts w:cstheme="minorHAnsi"/>
        </w:rPr>
        <w:t xml:space="preserve">, dont les modalités diffèrent toutefois en fonction de différents paramètres tels que la nature de l’instrument de paiement, le fait qu’il soit doté de données de sécurité personnalisées ou l’usage d’un dispositif d’authentification forte lors de la transaction. </w:t>
      </w:r>
      <w:r w:rsidRPr="005354E4">
        <w:rPr>
          <w:rFonts w:cstheme="minorHAnsi"/>
          <w:b/>
        </w:rPr>
        <w:t>Ce remboursement peut toutefois être refusé en cas de comportement frauduleux de l’utilisateur lui-même ou, pour les seules opérations authentifiées de manière forte dans les conditions prévues par la loi</w:t>
      </w:r>
      <w:r w:rsidRPr="005354E4">
        <w:rPr>
          <w:rStyle w:val="Appelnotedebasdep"/>
          <w:rFonts w:cstheme="minorHAnsi"/>
          <w:b/>
        </w:rPr>
        <w:footnoteReference w:id="4"/>
      </w:r>
      <w:r w:rsidRPr="005354E4">
        <w:rPr>
          <w:rFonts w:cstheme="minorHAnsi"/>
          <w:b/>
        </w:rPr>
        <w:t>, en cas de négligence grave de l’utilisateur démontrée par le prestataire de services de paiement</w:t>
      </w:r>
      <w:r w:rsidRPr="005354E4">
        <w:rPr>
          <w:rFonts w:cstheme="minorHAnsi"/>
        </w:rPr>
        <w:t>.</w:t>
      </w:r>
    </w:p>
    <w:p w14:paraId="11A2DBD8" w14:textId="77777777" w:rsidR="001867B3" w:rsidRPr="005354E4" w:rsidRDefault="001867B3" w:rsidP="001867B3">
      <w:pPr>
        <w:jc w:val="both"/>
        <w:rPr>
          <w:rFonts w:cstheme="minorHAnsi"/>
        </w:rPr>
      </w:pPr>
      <w:r w:rsidRPr="005354E4">
        <w:rPr>
          <w:rFonts w:cstheme="minorHAnsi"/>
          <w:b/>
        </w:rPr>
        <w:t xml:space="preserve">L’appréciation du caractère autorisé ou non d’une </w:t>
      </w:r>
      <w:r w:rsidR="00EC304A" w:rsidRPr="005354E4">
        <w:rPr>
          <w:rFonts w:cstheme="minorHAnsi"/>
          <w:b/>
        </w:rPr>
        <w:t xml:space="preserve">opération </w:t>
      </w:r>
      <w:r w:rsidRPr="005354E4">
        <w:rPr>
          <w:rFonts w:cstheme="minorHAnsi"/>
          <w:b/>
        </w:rPr>
        <w:t xml:space="preserve">est donc un critère déterminant </w:t>
      </w:r>
      <w:r w:rsidR="00EC304A" w:rsidRPr="005354E4">
        <w:rPr>
          <w:rFonts w:cstheme="minorHAnsi"/>
          <w:b/>
        </w:rPr>
        <w:t>pour le</w:t>
      </w:r>
      <w:r w:rsidRPr="005354E4">
        <w:rPr>
          <w:rFonts w:cstheme="minorHAnsi"/>
          <w:b/>
        </w:rPr>
        <w:t xml:space="preserve"> remboursement des clients</w:t>
      </w:r>
      <w:r w:rsidRPr="005354E4">
        <w:rPr>
          <w:rFonts w:cstheme="minorHAnsi"/>
        </w:rPr>
        <w:t xml:space="preserve"> qui contestent une opération de paiement pour motif de fraude.</w:t>
      </w:r>
      <w:r w:rsidR="00940201" w:rsidRPr="005354E4">
        <w:rPr>
          <w:rFonts w:cstheme="minorHAnsi"/>
        </w:rPr>
        <w:t xml:space="preserve"> Cette question est particulièrement sensible dans le cas d</w:t>
      </w:r>
      <w:r w:rsidR="00C76B2B" w:rsidRPr="005354E4">
        <w:rPr>
          <w:rFonts w:cstheme="minorHAnsi"/>
        </w:rPr>
        <w:t xml:space="preserve">’opérations </w:t>
      </w:r>
      <w:r w:rsidR="00940201" w:rsidRPr="005354E4">
        <w:rPr>
          <w:rFonts w:cstheme="minorHAnsi"/>
        </w:rPr>
        <w:t>ayant fait l’objet d’une authentification forte, où il convient de déterminer dans quelle mesure le succès de l’authentification forte peut être ou non assimilé à un consentement du porteur de l’instrument de paiement.</w:t>
      </w:r>
    </w:p>
    <w:p w14:paraId="2FD8A5E4" w14:textId="77777777" w:rsidR="001867B3" w:rsidRPr="005354E4" w:rsidRDefault="001867B3" w:rsidP="001867B3">
      <w:pPr>
        <w:jc w:val="both"/>
        <w:rPr>
          <w:rFonts w:cstheme="minorHAnsi"/>
        </w:rPr>
      </w:pPr>
      <w:r w:rsidRPr="005354E4">
        <w:rPr>
          <w:rFonts w:cstheme="minorHAnsi"/>
        </w:rPr>
        <w:t xml:space="preserve">L’objectif des </w:t>
      </w:r>
      <w:r w:rsidR="00940201" w:rsidRPr="005354E4">
        <w:rPr>
          <w:rFonts w:cstheme="minorHAnsi"/>
        </w:rPr>
        <w:t>recommandations présentées ci-après est de</w:t>
      </w:r>
      <w:r w:rsidRPr="005354E4">
        <w:rPr>
          <w:rFonts w:cstheme="minorHAnsi"/>
        </w:rPr>
        <w:t xml:space="preserve"> réduire la « zone grise » sur l’appréciation du caractère « non autorisé » d’une opération contestée</w:t>
      </w:r>
      <w:r w:rsidR="00940201" w:rsidRPr="005354E4">
        <w:rPr>
          <w:rFonts w:cstheme="minorHAnsi"/>
        </w:rPr>
        <w:t xml:space="preserve">, au travers de l’examen de </w:t>
      </w:r>
      <w:r w:rsidRPr="005354E4">
        <w:rPr>
          <w:rFonts w:cstheme="minorHAnsi"/>
        </w:rPr>
        <w:t>différents cas de contestation, du plus simple au plus complexe</w:t>
      </w:r>
      <w:r w:rsidR="00E760F3" w:rsidRPr="005354E4">
        <w:rPr>
          <w:rFonts w:cstheme="minorHAnsi"/>
        </w:rPr>
        <w:t>. Il s’agit</w:t>
      </w:r>
      <w:r w:rsidRPr="005354E4">
        <w:rPr>
          <w:rFonts w:cstheme="minorHAnsi"/>
        </w:rPr>
        <w:t xml:space="preserve"> de </w:t>
      </w:r>
      <w:r w:rsidR="00940201" w:rsidRPr="005354E4">
        <w:rPr>
          <w:rFonts w:cstheme="minorHAnsi"/>
        </w:rPr>
        <w:t>déterminer sous quelles conditions</w:t>
      </w:r>
      <w:r w:rsidRPr="005354E4">
        <w:rPr>
          <w:rFonts w:cstheme="minorHAnsi"/>
        </w:rPr>
        <w:t xml:space="preserve"> l’opération </w:t>
      </w:r>
      <w:r w:rsidR="00940201" w:rsidRPr="005354E4">
        <w:rPr>
          <w:rFonts w:cstheme="minorHAnsi"/>
        </w:rPr>
        <w:t>peut être</w:t>
      </w:r>
      <w:r w:rsidRPr="005354E4">
        <w:rPr>
          <w:rFonts w:cstheme="minorHAnsi"/>
        </w:rPr>
        <w:t xml:space="preserve"> présumée non autorisée et </w:t>
      </w:r>
      <w:r w:rsidR="00940201" w:rsidRPr="005354E4">
        <w:rPr>
          <w:rFonts w:cstheme="minorHAnsi"/>
        </w:rPr>
        <w:t>donner lieu à</w:t>
      </w:r>
      <w:r w:rsidRPr="005354E4">
        <w:rPr>
          <w:rFonts w:cstheme="minorHAnsi"/>
        </w:rPr>
        <w:t xml:space="preserve"> remboursement</w:t>
      </w:r>
      <w:r w:rsidR="00940201" w:rsidRPr="005354E4">
        <w:rPr>
          <w:rFonts w:cstheme="minorHAnsi"/>
        </w:rPr>
        <w:t xml:space="preserve"> immédiat, à moins que le prestataire de service de paiement n’apporte la preuve de la fraude ou de la négligence grave de l’utilisateur</w:t>
      </w:r>
      <w:r w:rsidRPr="005354E4">
        <w:rPr>
          <w:rFonts w:cstheme="minorHAnsi"/>
        </w:rPr>
        <w:t>.</w:t>
      </w:r>
    </w:p>
    <w:p w14:paraId="2560ED0D" w14:textId="77777777" w:rsidR="00940201" w:rsidRPr="005354E4" w:rsidRDefault="00BE75B4" w:rsidP="00940201">
      <w:pPr>
        <w:jc w:val="both"/>
        <w:rPr>
          <w:rFonts w:cstheme="minorHAnsi"/>
          <w:b/>
        </w:rPr>
      </w:pPr>
      <w:r w:rsidRPr="005354E4">
        <w:rPr>
          <w:rFonts w:cstheme="minorHAnsi"/>
          <w:b/>
        </w:rPr>
        <w:t xml:space="preserve">2.2 </w:t>
      </w:r>
      <w:r w:rsidR="00F1070A" w:rsidRPr="005354E4">
        <w:rPr>
          <w:rFonts w:cstheme="minorHAnsi"/>
          <w:b/>
        </w:rPr>
        <w:t xml:space="preserve">Apports </w:t>
      </w:r>
      <w:r w:rsidR="00940201" w:rsidRPr="005354E4">
        <w:rPr>
          <w:rFonts w:cstheme="minorHAnsi"/>
          <w:b/>
        </w:rPr>
        <w:t xml:space="preserve">de la jurisprudence sur </w:t>
      </w:r>
      <w:r w:rsidR="004C76FE" w:rsidRPr="005354E4">
        <w:rPr>
          <w:rFonts w:cstheme="minorHAnsi"/>
          <w:b/>
        </w:rPr>
        <w:t>l’appréciation de la</w:t>
      </w:r>
      <w:r w:rsidR="00940201" w:rsidRPr="005354E4">
        <w:rPr>
          <w:rFonts w:cstheme="minorHAnsi"/>
          <w:b/>
        </w:rPr>
        <w:t xml:space="preserve"> négligence grave</w:t>
      </w:r>
      <w:r w:rsidR="004C76FE" w:rsidRPr="005354E4">
        <w:rPr>
          <w:rFonts w:cstheme="minorHAnsi"/>
          <w:b/>
        </w:rPr>
        <w:t xml:space="preserve"> de l’utilisateur de services de paiement</w:t>
      </w:r>
    </w:p>
    <w:p w14:paraId="1272E1AB" w14:textId="77777777" w:rsidR="00847682" w:rsidRPr="005354E4" w:rsidRDefault="00940201" w:rsidP="00604AC9">
      <w:pPr>
        <w:jc w:val="both"/>
        <w:rPr>
          <w:rFonts w:ascii="Arial" w:eastAsia="Times New Roman" w:hAnsi="Arial" w:cstheme="minorHAnsi"/>
          <w:b/>
          <w:bCs/>
          <w:color w:val="345A8A"/>
          <w:sz w:val="32"/>
          <w:szCs w:val="32"/>
        </w:rPr>
      </w:pPr>
      <w:r w:rsidRPr="005354E4">
        <w:rPr>
          <w:rFonts w:cstheme="minorHAnsi"/>
        </w:rPr>
        <w:t xml:space="preserve">Les textes ne précisent pas explicitement quels sont les éléments qui caractérisent une négligence grave de l’utilisateur, qui est le principal motif invoqué par les </w:t>
      </w:r>
      <w:r w:rsidR="0045461B" w:rsidRPr="005354E4">
        <w:rPr>
          <w:rFonts w:cstheme="minorHAnsi"/>
        </w:rPr>
        <w:t xml:space="preserve">prestataires de services de paiement </w:t>
      </w:r>
      <w:r w:rsidRPr="005354E4">
        <w:rPr>
          <w:rFonts w:cstheme="minorHAnsi"/>
        </w:rPr>
        <w:t xml:space="preserve">pour refuser le </w:t>
      </w:r>
      <w:r w:rsidR="00CC5746" w:rsidRPr="005354E4">
        <w:rPr>
          <w:rFonts w:cstheme="minorHAnsi"/>
        </w:rPr>
        <w:t>remboursement</w:t>
      </w:r>
      <w:r w:rsidRPr="005354E4">
        <w:rPr>
          <w:rFonts w:cstheme="minorHAnsi"/>
        </w:rPr>
        <w:t xml:space="preserve"> d’un paiement non autorisé. </w:t>
      </w:r>
      <w:r w:rsidR="0024736B" w:rsidRPr="005354E4">
        <w:rPr>
          <w:rFonts w:cstheme="minorHAnsi"/>
        </w:rPr>
        <w:t xml:space="preserve">En outre, il convient de noter qu’il n’existe pas encore de jurisprudence de la Cour de </w:t>
      </w:r>
      <w:r w:rsidR="00E760F3" w:rsidRPr="005354E4">
        <w:rPr>
          <w:rFonts w:cstheme="minorHAnsi"/>
        </w:rPr>
        <w:t>C</w:t>
      </w:r>
      <w:r w:rsidR="0024736B" w:rsidRPr="005354E4">
        <w:rPr>
          <w:rFonts w:cstheme="minorHAnsi"/>
        </w:rPr>
        <w:t xml:space="preserve">assation </w:t>
      </w:r>
      <w:r w:rsidR="00F1070A" w:rsidRPr="005354E4">
        <w:rPr>
          <w:rFonts w:cstheme="minorHAnsi"/>
        </w:rPr>
        <w:t xml:space="preserve">portant sur une contestation d’opération effectuée postérieurement à l’entrée en vigueur de la DSP2 et des textes pris pour sa transposition et son application. La </w:t>
      </w:r>
      <w:r w:rsidR="0024736B" w:rsidRPr="005354E4">
        <w:rPr>
          <w:rFonts w:cstheme="minorHAnsi"/>
        </w:rPr>
        <w:t>jurisprudence actuelle (</w:t>
      </w:r>
      <w:r w:rsidR="00F1070A" w:rsidRPr="005354E4">
        <w:rPr>
          <w:rFonts w:cstheme="minorHAnsi"/>
        </w:rPr>
        <w:t>relative à des contestations d’opérations effectuées antérieurement à l’entrée en vigueur de la DSP2</w:t>
      </w:r>
      <w:r w:rsidR="0024736B" w:rsidRPr="005354E4">
        <w:rPr>
          <w:rFonts w:cstheme="minorHAnsi"/>
        </w:rPr>
        <w:t xml:space="preserve">) repose sur </w:t>
      </w:r>
      <w:r w:rsidR="00E760F3" w:rsidRPr="005354E4">
        <w:rPr>
          <w:rFonts w:cstheme="minorHAnsi"/>
        </w:rPr>
        <w:t>le concept</w:t>
      </w:r>
      <w:r w:rsidR="0024736B" w:rsidRPr="005354E4">
        <w:rPr>
          <w:rFonts w:cstheme="minorHAnsi"/>
        </w:rPr>
        <w:t xml:space="preserve"> d’utilisateur « normalement attentif ». Dans ce contexte</w:t>
      </w:r>
      <w:r w:rsidR="00CC5746" w:rsidRPr="005354E4">
        <w:rPr>
          <w:rFonts w:cstheme="minorHAnsi"/>
        </w:rPr>
        <w:t xml:space="preserve">, il convient pour les </w:t>
      </w:r>
      <w:r w:rsidR="0045461B" w:rsidRPr="005354E4">
        <w:rPr>
          <w:rFonts w:cstheme="minorHAnsi"/>
        </w:rPr>
        <w:t xml:space="preserve">prestataires de services de paiement </w:t>
      </w:r>
      <w:r w:rsidR="00CC5746" w:rsidRPr="005354E4">
        <w:rPr>
          <w:rFonts w:cstheme="minorHAnsi"/>
        </w:rPr>
        <w:t>qui souhaitent recourir à ce motif d’exclusion du droit à remboursement d’évaluer le cas au regard de la jurisprudence,</w:t>
      </w:r>
      <w:r w:rsidRPr="005354E4">
        <w:rPr>
          <w:rFonts w:cstheme="minorHAnsi"/>
        </w:rPr>
        <w:t xml:space="preserve"> </w:t>
      </w:r>
      <w:r w:rsidR="0024736B" w:rsidRPr="005354E4">
        <w:rPr>
          <w:rFonts w:cstheme="minorHAnsi"/>
        </w:rPr>
        <w:t xml:space="preserve">qui sera vraisemblablement amenée à </w:t>
      </w:r>
      <w:r w:rsidR="00F1070A" w:rsidRPr="005354E4">
        <w:rPr>
          <w:rFonts w:cstheme="minorHAnsi"/>
        </w:rPr>
        <w:t>s’enrichir</w:t>
      </w:r>
      <w:r w:rsidR="0024736B" w:rsidRPr="005354E4">
        <w:rPr>
          <w:rFonts w:cstheme="minorHAnsi"/>
        </w:rPr>
        <w:t xml:space="preserve"> dans les prochaines années</w:t>
      </w:r>
      <w:r w:rsidR="00663D51" w:rsidRPr="005354E4">
        <w:rPr>
          <w:rFonts w:cstheme="minorHAnsi"/>
        </w:rPr>
        <w:t>,</w:t>
      </w:r>
      <w:r w:rsidR="00CC5746" w:rsidRPr="005354E4">
        <w:rPr>
          <w:rFonts w:cstheme="minorHAnsi"/>
        </w:rPr>
        <w:t xml:space="preserve"> certaines décisions </w:t>
      </w:r>
      <w:r w:rsidR="00F1070A" w:rsidRPr="005354E4">
        <w:rPr>
          <w:rFonts w:cstheme="minorHAnsi"/>
        </w:rPr>
        <w:t>étant néanmoins</w:t>
      </w:r>
      <w:r w:rsidR="00E760F3" w:rsidRPr="005354E4">
        <w:rPr>
          <w:rFonts w:cstheme="minorHAnsi"/>
        </w:rPr>
        <w:t xml:space="preserve"> d’ores et déjà éclairantes</w:t>
      </w:r>
      <w:r w:rsidR="00766595" w:rsidRPr="005354E4">
        <w:rPr>
          <w:rFonts w:cstheme="minorHAnsi"/>
        </w:rPr>
        <w:t>.</w:t>
      </w:r>
      <w:r w:rsidR="00847682" w:rsidRPr="005354E4">
        <w:rPr>
          <w:rFonts w:cstheme="minorHAnsi"/>
        </w:rPr>
        <w:br w:type="page"/>
      </w:r>
    </w:p>
    <w:p w14:paraId="5C481DB5" w14:textId="77777777" w:rsidR="00C92071" w:rsidRPr="005354E4" w:rsidRDefault="00C92071" w:rsidP="00C92071">
      <w:pPr>
        <w:pStyle w:val="Titre1"/>
        <w:numPr>
          <w:ilvl w:val="0"/>
          <w:numId w:val="8"/>
        </w:numPr>
        <w:pBdr>
          <w:top w:val="single" w:sz="4" w:space="1" w:color="000099"/>
          <w:bottom w:val="single" w:sz="4" w:space="1" w:color="000099"/>
        </w:pBdr>
        <w:jc w:val="both"/>
        <w:rPr>
          <w:rFonts w:asciiTheme="minorHAnsi" w:hAnsiTheme="minorHAnsi" w:cstheme="minorHAnsi"/>
          <w:b w:val="0"/>
          <w:smallCaps/>
          <w:color w:val="000099"/>
          <w:sz w:val="28"/>
        </w:rPr>
      </w:pPr>
      <w:r w:rsidRPr="005354E4">
        <w:rPr>
          <w:rFonts w:asciiTheme="minorHAnsi" w:hAnsiTheme="minorHAnsi" w:cstheme="minorHAnsi"/>
          <w:b w:val="0"/>
          <w:smallCaps/>
          <w:color w:val="000099"/>
          <w:sz w:val="28"/>
        </w:rPr>
        <w:t xml:space="preserve">Recommandations générales applicables au traitement des </w:t>
      </w:r>
      <w:r w:rsidR="00310F78" w:rsidRPr="005354E4">
        <w:rPr>
          <w:rFonts w:asciiTheme="minorHAnsi" w:hAnsiTheme="minorHAnsi" w:cstheme="minorHAnsi"/>
          <w:b w:val="0"/>
          <w:smallCaps/>
          <w:color w:val="000099"/>
          <w:sz w:val="28"/>
        </w:rPr>
        <w:t>contestations d’opérations de paiement</w:t>
      </w:r>
    </w:p>
    <w:p w14:paraId="55A8989F" w14:textId="77777777" w:rsidR="003F7308" w:rsidRPr="005354E4" w:rsidRDefault="003F7308" w:rsidP="00373761">
      <w:pPr>
        <w:spacing w:after="0"/>
        <w:jc w:val="both"/>
        <w:rPr>
          <w:rFonts w:cstheme="minorHAnsi"/>
        </w:rPr>
      </w:pPr>
    </w:p>
    <w:p w14:paraId="3FF3ECDE" w14:textId="77777777" w:rsidR="00A809D4" w:rsidRPr="005354E4" w:rsidRDefault="00BE75B4" w:rsidP="00C92071">
      <w:pPr>
        <w:jc w:val="both"/>
        <w:rPr>
          <w:rFonts w:cstheme="minorHAnsi"/>
          <w:b/>
          <w:u w:val="single"/>
        </w:rPr>
      </w:pPr>
      <w:r w:rsidRPr="005354E4">
        <w:rPr>
          <w:rFonts w:cstheme="minorHAnsi"/>
          <w:b/>
          <w:u w:val="single"/>
        </w:rPr>
        <w:t xml:space="preserve">3.1 </w:t>
      </w:r>
      <w:r w:rsidR="00A809D4" w:rsidRPr="005354E4">
        <w:rPr>
          <w:rFonts w:cstheme="minorHAnsi"/>
          <w:b/>
          <w:u w:val="single"/>
        </w:rPr>
        <w:t>Délai pour la conduite des investigations</w:t>
      </w:r>
    </w:p>
    <w:p w14:paraId="0BD2EA13" w14:textId="77777777" w:rsidR="00A809D4" w:rsidRPr="005354E4" w:rsidRDefault="00A809D4" w:rsidP="00A809D4">
      <w:pPr>
        <w:jc w:val="both"/>
        <w:rPr>
          <w:rFonts w:cstheme="minorHAnsi"/>
        </w:rPr>
      </w:pPr>
      <w:r w:rsidRPr="005354E4">
        <w:rPr>
          <w:rFonts w:cstheme="minorHAnsi"/>
        </w:rPr>
        <w:t xml:space="preserve">Lorsque des investigations doivent être conduites par le prestataire de services de paiement (par exemple, investigations liées à une opération de paiement authentifiée de manière forte, cf. paragraphe </w:t>
      </w:r>
      <w:r w:rsidR="00BE75B4" w:rsidRPr="005354E4">
        <w:rPr>
          <w:rFonts w:cstheme="minorHAnsi"/>
        </w:rPr>
        <w:t>4</w:t>
      </w:r>
      <w:r w:rsidRPr="005354E4">
        <w:rPr>
          <w:rFonts w:cstheme="minorHAnsi"/>
        </w:rPr>
        <w:t>.3 ci-a</w:t>
      </w:r>
      <w:r w:rsidR="00BE75B4" w:rsidRPr="005354E4">
        <w:rPr>
          <w:rFonts w:cstheme="minorHAnsi"/>
        </w:rPr>
        <w:t>près</w:t>
      </w:r>
      <w:r w:rsidRPr="005354E4">
        <w:rPr>
          <w:rFonts w:cstheme="minorHAnsi"/>
        </w:rPr>
        <w:t xml:space="preserve">), il apparaît nécessaire que la durée de ces investigations soit limitée </w:t>
      </w:r>
      <w:r w:rsidR="00E760F3" w:rsidRPr="005354E4">
        <w:rPr>
          <w:rFonts w:cstheme="minorHAnsi"/>
        </w:rPr>
        <w:t xml:space="preserve">dans le temps. En effet, il </w:t>
      </w:r>
      <w:r w:rsidR="003C5C80" w:rsidRPr="005354E4">
        <w:rPr>
          <w:rFonts w:cstheme="minorHAnsi"/>
        </w:rPr>
        <w:t>s’agit,</w:t>
      </w:r>
      <w:r w:rsidRPr="005354E4">
        <w:rPr>
          <w:rFonts w:cstheme="minorHAnsi"/>
        </w:rPr>
        <w:t xml:space="preserve"> d’une part </w:t>
      </w:r>
      <w:r w:rsidR="003C5C80" w:rsidRPr="005354E4">
        <w:rPr>
          <w:rFonts w:cstheme="minorHAnsi"/>
        </w:rPr>
        <w:t>d’</w:t>
      </w:r>
      <w:r w:rsidRPr="005354E4">
        <w:rPr>
          <w:rFonts w:cstheme="minorHAnsi"/>
        </w:rPr>
        <w:t>éviter la disparition ou l’oubli des éléments d’information utiles au PSP</w:t>
      </w:r>
      <w:r w:rsidR="0024736B" w:rsidRPr="005354E4">
        <w:rPr>
          <w:rFonts w:cstheme="minorHAnsi"/>
        </w:rPr>
        <w:t>,</w:t>
      </w:r>
      <w:r w:rsidRPr="005354E4">
        <w:rPr>
          <w:rFonts w:cstheme="minorHAnsi"/>
        </w:rPr>
        <w:t xml:space="preserve"> et d’autre part</w:t>
      </w:r>
      <w:r w:rsidR="00E760F3" w:rsidRPr="005354E4">
        <w:rPr>
          <w:rFonts w:cstheme="minorHAnsi"/>
        </w:rPr>
        <w:t xml:space="preserve"> </w:t>
      </w:r>
      <w:r w:rsidR="003C5C80" w:rsidRPr="005354E4">
        <w:rPr>
          <w:rFonts w:cstheme="minorHAnsi"/>
        </w:rPr>
        <w:t xml:space="preserve">de </w:t>
      </w:r>
      <w:r w:rsidRPr="005354E4">
        <w:rPr>
          <w:rFonts w:cstheme="minorHAnsi"/>
        </w:rPr>
        <w:t xml:space="preserve">permettre au client de disposer à </w:t>
      </w:r>
      <w:r w:rsidR="0024736B" w:rsidRPr="005354E4">
        <w:rPr>
          <w:rFonts w:cstheme="minorHAnsi"/>
        </w:rPr>
        <w:t xml:space="preserve">une </w:t>
      </w:r>
      <w:r w:rsidRPr="005354E4">
        <w:rPr>
          <w:rFonts w:cstheme="minorHAnsi"/>
        </w:rPr>
        <w:t xml:space="preserve">échéance </w:t>
      </w:r>
      <w:r w:rsidR="0024736B" w:rsidRPr="005354E4">
        <w:rPr>
          <w:rFonts w:cstheme="minorHAnsi"/>
        </w:rPr>
        <w:t xml:space="preserve">suffisamment proche </w:t>
      </w:r>
      <w:r w:rsidR="004533EB" w:rsidRPr="005354E4">
        <w:rPr>
          <w:rFonts w:cstheme="minorHAnsi"/>
        </w:rPr>
        <w:t xml:space="preserve">et connue </w:t>
      </w:r>
      <w:r w:rsidRPr="005354E4">
        <w:rPr>
          <w:rFonts w:cstheme="minorHAnsi"/>
        </w:rPr>
        <w:t xml:space="preserve">d’une réponse </w:t>
      </w:r>
      <w:r w:rsidR="00E760F3" w:rsidRPr="005354E4">
        <w:rPr>
          <w:rFonts w:cstheme="minorHAnsi"/>
        </w:rPr>
        <w:t xml:space="preserve">claire </w:t>
      </w:r>
      <w:r w:rsidRPr="005354E4">
        <w:rPr>
          <w:rFonts w:cstheme="minorHAnsi"/>
        </w:rPr>
        <w:t>et définitive à sa contestation.</w:t>
      </w:r>
    </w:p>
    <w:p w14:paraId="356AA42F" w14:textId="77777777" w:rsidR="00A809D4" w:rsidRPr="005354E4" w:rsidRDefault="00A809D4" w:rsidP="00373761">
      <w:pPr>
        <w:pBdr>
          <w:top w:val="triple" w:sz="4" w:space="1" w:color="000099"/>
          <w:left w:val="triple" w:sz="4" w:space="4" w:color="000099"/>
          <w:bottom w:val="triple" w:sz="4" w:space="1" w:color="000099"/>
          <w:right w:val="triple" w:sz="4" w:space="4" w:color="000099"/>
        </w:pBdr>
        <w:jc w:val="both"/>
        <w:rPr>
          <w:rFonts w:cstheme="minorHAnsi"/>
          <w:b/>
          <w:color w:val="000099"/>
        </w:rPr>
      </w:pPr>
      <w:r w:rsidRPr="005354E4">
        <w:rPr>
          <w:rFonts w:cstheme="minorHAnsi"/>
          <w:b/>
          <w:color w:val="000099"/>
        </w:rPr>
        <w:t xml:space="preserve">Recommandation </w:t>
      </w:r>
      <w:r w:rsidR="00BE75B4" w:rsidRPr="005354E4">
        <w:rPr>
          <w:rFonts w:cstheme="minorHAnsi"/>
          <w:b/>
          <w:color w:val="000099"/>
        </w:rPr>
        <w:t>n°</w:t>
      </w:r>
      <w:r w:rsidR="00A95CC6" w:rsidRPr="005354E4">
        <w:rPr>
          <w:rFonts w:cstheme="minorHAnsi"/>
          <w:b/>
          <w:color w:val="000099"/>
        </w:rPr>
        <w:t> </w:t>
      </w:r>
      <w:r w:rsidR="00BE75B4" w:rsidRPr="005354E4">
        <w:rPr>
          <w:rFonts w:cstheme="minorHAnsi"/>
          <w:b/>
          <w:color w:val="000099"/>
        </w:rPr>
        <w:t>1</w:t>
      </w:r>
      <w:r w:rsidRPr="005354E4">
        <w:rPr>
          <w:rFonts w:cstheme="minorHAnsi"/>
          <w:b/>
          <w:color w:val="000099"/>
        </w:rPr>
        <w:t> :</w:t>
      </w:r>
      <w:r w:rsidR="00114D74" w:rsidRPr="005354E4">
        <w:rPr>
          <w:rFonts w:cstheme="minorHAnsi"/>
          <w:b/>
          <w:color w:val="000099"/>
        </w:rPr>
        <w:t xml:space="preserve"> </w:t>
      </w:r>
      <w:r w:rsidR="008A2E3C" w:rsidRPr="005354E4">
        <w:rPr>
          <w:rFonts w:cstheme="minorHAnsi"/>
          <w:b/>
          <w:color w:val="000099"/>
        </w:rPr>
        <w:t>d</w:t>
      </w:r>
      <w:r w:rsidR="00114D74" w:rsidRPr="005354E4">
        <w:rPr>
          <w:rFonts w:cstheme="minorHAnsi"/>
          <w:b/>
          <w:color w:val="000099"/>
        </w:rPr>
        <w:t>élai maximum des investigations</w:t>
      </w:r>
    </w:p>
    <w:p w14:paraId="57296B46" w14:textId="77777777" w:rsidR="00C92071" w:rsidRPr="005354E4" w:rsidRDefault="00A809D4" w:rsidP="00373761">
      <w:pPr>
        <w:pBdr>
          <w:top w:val="triple" w:sz="4" w:space="1" w:color="000099"/>
          <w:left w:val="triple" w:sz="4" w:space="4" w:color="000099"/>
          <w:bottom w:val="triple" w:sz="4" w:space="1" w:color="000099"/>
          <w:right w:val="triple" w:sz="4" w:space="4" w:color="000099"/>
        </w:pBdr>
        <w:jc w:val="both"/>
        <w:rPr>
          <w:rFonts w:cstheme="minorHAnsi"/>
          <w:b/>
        </w:rPr>
      </w:pPr>
      <w:r w:rsidRPr="005354E4">
        <w:rPr>
          <w:rFonts w:cstheme="minorHAnsi"/>
          <w:b/>
        </w:rPr>
        <w:t>Les prestataires de services de paiement sont invités à mettre en œuvre les investigations dès la réception de la contestation</w:t>
      </w:r>
      <w:r w:rsidR="009B4DD5">
        <w:rPr>
          <w:rFonts w:cstheme="minorHAnsi"/>
          <w:b/>
        </w:rPr>
        <w:t>,</w:t>
      </w:r>
      <w:r w:rsidRPr="005354E4">
        <w:rPr>
          <w:rFonts w:cstheme="minorHAnsi"/>
          <w:b/>
        </w:rPr>
        <w:t xml:space="preserve"> </w:t>
      </w:r>
      <w:r w:rsidR="00820B6E" w:rsidRPr="005354E4">
        <w:rPr>
          <w:rFonts w:cstheme="minorHAnsi"/>
          <w:b/>
        </w:rPr>
        <w:t xml:space="preserve">en prenant en compte les éventuels </w:t>
      </w:r>
      <w:r w:rsidR="0059165B" w:rsidRPr="005354E4">
        <w:rPr>
          <w:rFonts w:cstheme="minorHAnsi"/>
          <w:b/>
        </w:rPr>
        <w:t xml:space="preserve">éléments de description </w:t>
      </w:r>
      <w:r w:rsidR="00820B6E" w:rsidRPr="005354E4">
        <w:rPr>
          <w:rFonts w:cstheme="minorHAnsi"/>
          <w:b/>
        </w:rPr>
        <w:t xml:space="preserve">fournis par l’utilisateur </w:t>
      </w:r>
      <w:r w:rsidR="0059165B" w:rsidRPr="005354E4">
        <w:rPr>
          <w:rFonts w:cstheme="minorHAnsi"/>
        </w:rPr>
        <w:t xml:space="preserve">(tels que </w:t>
      </w:r>
      <w:r w:rsidR="00C367C7" w:rsidRPr="005354E4">
        <w:rPr>
          <w:rFonts w:cstheme="minorHAnsi"/>
        </w:rPr>
        <w:t>précisés</w:t>
      </w:r>
      <w:r w:rsidR="0059165B" w:rsidRPr="005354E4">
        <w:rPr>
          <w:rFonts w:cstheme="minorHAnsi"/>
        </w:rPr>
        <w:t xml:space="preserve"> par la recommandation n°8)</w:t>
      </w:r>
      <w:r w:rsidR="0059165B" w:rsidRPr="005354E4">
        <w:rPr>
          <w:rFonts w:cstheme="minorHAnsi"/>
          <w:b/>
        </w:rPr>
        <w:t xml:space="preserve">, </w:t>
      </w:r>
      <w:r w:rsidRPr="003057DD">
        <w:rPr>
          <w:rFonts w:cstheme="minorHAnsi"/>
          <w:b/>
        </w:rPr>
        <w:t xml:space="preserve">et à </w:t>
      </w:r>
      <w:r w:rsidR="0059165B" w:rsidRPr="003057DD">
        <w:rPr>
          <w:rFonts w:cstheme="minorHAnsi"/>
          <w:b/>
        </w:rPr>
        <w:t xml:space="preserve">en </w:t>
      </w:r>
      <w:r w:rsidRPr="003057DD">
        <w:rPr>
          <w:rFonts w:cstheme="minorHAnsi"/>
          <w:b/>
        </w:rPr>
        <w:t xml:space="preserve">limiter </w:t>
      </w:r>
      <w:r w:rsidR="00310F78" w:rsidRPr="003057DD">
        <w:rPr>
          <w:rFonts w:cstheme="minorHAnsi"/>
          <w:b/>
        </w:rPr>
        <w:t>l</w:t>
      </w:r>
      <w:r w:rsidR="00CC7CE6" w:rsidRPr="003057DD">
        <w:rPr>
          <w:rFonts w:cstheme="minorHAnsi"/>
          <w:b/>
        </w:rPr>
        <w:t>a</w:t>
      </w:r>
      <w:r w:rsidR="00310F78" w:rsidRPr="005354E4">
        <w:rPr>
          <w:rFonts w:cstheme="minorHAnsi"/>
          <w:b/>
        </w:rPr>
        <w:t xml:space="preserve"> </w:t>
      </w:r>
      <w:r w:rsidRPr="005354E4">
        <w:rPr>
          <w:rFonts w:cstheme="minorHAnsi"/>
          <w:b/>
        </w:rPr>
        <w:t>durée à 30 jours</w:t>
      </w:r>
      <w:r w:rsidR="00EF3218" w:rsidRPr="005354E4">
        <w:rPr>
          <w:rFonts w:cstheme="minorHAnsi"/>
          <w:b/>
        </w:rPr>
        <w:t>, sauf situation exceptionnelle</w:t>
      </w:r>
      <w:r w:rsidRPr="005354E4">
        <w:rPr>
          <w:rFonts w:cstheme="minorHAnsi"/>
          <w:b/>
        </w:rPr>
        <w:t>.</w:t>
      </w:r>
      <w:r w:rsidR="003C5C80" w:rsidRPr="005354E4">
        <w:rPr>
          <w:rFonts w:cstheme="minorHAnsi"/>
          <w:b/>
        </w:rPr>
        <w:t xml:space="preserve"> </w:t>
      </w:r>
    </w:p>
    <w:p w14:paraId="6B055237" w14:textId="77777777" w:rsidR="009171EA" w:rsidRPr="005354E4" w:rsidRDefault="009171EA" w:rsidP="009B38D4">
      <w:pPr>
        <w:jc w:val="both"/>
        <w:rPr>
          <w:rFonts w:cstheme="minorHAnsi"/>
          <w:b/>
          <w:u w:val="single"/>
        </w:rPr>
      </w:pPr>
      <w:r w:rsidRPr="005354E4">
        <w:rPr>
          <w:rFonts w:cstheme="minorHAnsi"/>
          <w:b/>
          <w:u w:val="single"/>
        </w:rPr>
        <w:t xml:space="preserve">3.2 </w:t>
      </w:r>
      <w:r w:rsidR="00310F78" w:rsidRPr="005354E4">
        <w:rPr>
          <w:rFonts w:cstheme="minorHAnsi"/>
          <w:b/>
          <w:u w:val="single"/>
        </w:rPr>
        <w:t>Modalités et délai</w:t>
      </w:r>
      <w:r w:rsidRPr="005354E4">
        <w:rPr>
          <w:rFonts w:cstheme="minorHAnsi"/>
          <w:b/>
          <w:u w:val="single"/>
        </w:rPr>
        <w:t xml:space="preserve"> de reprise des fonds</w:t>
      </w:r>
    </w:p>
    <w:p w14:paraId="462FF680" w14:textId="77777777" w:rsidR="003C5C80" w:rsidRPr="005354E4" w:rsidRDefault="00E64C7A" w:rsidP="009B38D4">
      <w:pPr>
        <w:jc w:val="both"/>
        <w:rPr>
          <w:rFonts w:cstheme="minorHAnsi"/>
        </w:rPr>
      </w:pPr>
      <w:r w:rsidRPr="005354E4">
        <w:rPr>
          <w:rFonts w:cstheme="minorHAnsi"/>
        </w:rPr>
        <w:t>Il existe différents cas de figure dans lesquels une</w:t>
      </w:r>
      <w:r w:rsidR="003C5C80" w:rsidRPr="005354E4">
        <w:rPr>
          <w:rFonts w:cstheme="minorHAnsi"/>
        </w:rPr>
        <w:t xml:space="preserve"> décision initiale de remboursement du client </w:t>
      </w:r>
      <w:r w:rsidRPr="005354E4">
        <w:rPr>
          <w:rFonts w:cstheme="minorHAnsi"/>
        </w:rPr>
        <w:t>par le prestataire de services de paiement est</w:t>
      </w:r>
      <w:r w:rsidR="003C5C80" w:rsidRPr="005354E4">
        <w:rPr>
          <w:rFonts w:cstheme="minorHAnsi"/>
        </w:rPr>
        <w:t xml:space="preserve"> susceptible d’</w:t>
      </w:r>
      <w:r w:rsidRPr="005354E4">
        <w:rPr>
          <w:rFonts w:cstheme="minorHAnsi"/>
        </w:rPr>
        <w:t>être remise e</w:t>
      </w:r>
      <w:r w:rsidR="003C5C80" w:rsidRPr="005354E4">
        <w:rPr>
          <w:rFonts w:cstheme="minorHAnsi"/>
        </w:rPr>
        <w:t>n cause</w:t>
      </w:r>
      <w:r w:rsidRPr="005354E4">
        <w:rPr>
          <w:rFonts w:cstheme="minorHAnsi"/>
        </w:rPr>
        <w:t xml:space="preserve"> </w:t>
      </w:r>
      <w:r w:rsidRPr="005354E4">
        <w:rPr>
          <w:rFonts w:cstheme="minorHAnsi"/>
          <w:i/>
        </w:rPr>
        <w:t>a posteriori</w:t>
      </w:r>
      <w:r w:rsidRPr="005354E4">
        <w:rPr>
          <w:rFonts w:cstheme="minorHAnsi"/>
        </w:rPr>
        <w:t>, par exemple en cas d’investigations complémentaires ou si l’utilisateur vient à être remboursé par un autre canal (par la contrepartie de l’opération, via un mécanisme d’assurance…), conduisant le prestataire à procéder à une reprise des fonds. Il apparait nécessaire que l’utilisateur soit informé le cas échéant de cette possibilité au moment de son remboursement initial.</w:t>
      </w:r>
    </w:p>
    <w:p w14:paraId="39106358" w14:textId="77777777" w:rsidR="009171EA" w:rsidRPr="005354E4" w:rsidRDefault="009171EA" w:rsidP="009171EA">
      <w:pPr>
        <w:pBdr>
          <w:top w:val="triple" w:sz="4" w:space="1" w:color="000099"/>
          <w:left w:val="triple" w:sz="4" w:space="4" w:color="000099"/>
          <w:bottom w:val="triple" w:sz="4" w:space="1" w:color="000099"/>
          <w:right w:val="triple" w:sz="4" w:space="4" w:color="000099"/>
        </w:pBdr>
        <w:jc w:val="both"/>
        <w:rPr>
          <w:rFonts w:cstheme="minorHAnsi"/>
          <w:b/>
          <w:color w:val="000099"/>
        </w:rPr>
      </w:pPr>
      <w:r w:rsidRPr="005354E4">
        <w:rPr>
          <w:rFonts w:cstheme="minorHAnsi"/>
          <w:b/>
          <w:color w:val="000099"/>
        </w:rPr>
        <w:t>Recommandation n°</w:t>
      </w:r>
      <w:r w:rsidR="00A95CC6" w:rsidRPr="005354E4">
        <w:rPr>
          <w:rFonts w:cstheme="minorHAnsi"/>
          <w:b/>
          <w:color w:val="000099"/>
        </w:rPr>
        <w:t> </w:t>
      </w:r>
      <w:r w:rsidRPr="005354E4">
        <w:rPr>
          <w:rFonts w:cstheme="minorHAnsi"/>
          <w:b/>
          <w:color w:val="000099"/>
        </w:rPr>
        <w:t>2 :</w:t>
      </w:r>
      <w:r w:rsidR="00114D74" w:rsidRPr="005354E4">
        <w:rPr>
          <w:rFonts w:cstheme="minorHAnsi"/>
          <w:b/>
          <w:color w:val="000099"/>
        </w:rPr>
        <w:t xml:space="preserve"> </w:t>
      </w:r>
      <w:r w:rsidR="008A2E3C" w:rsidRPr="005354E4">
        <w:rPr>
          <w:rFonts w:cstheme="minorHAnsi"/>
          <w:b/>
          <w:color w:val="000099"/>
        </w:rPr>
        <w:t>i</w:t>
      </w:r>
      <w:r w:rsidR="00114D74" w:rsidRPr="005354E4">
        <w:rPr>
          <w:rFonts w:cstheme="minorHAnsi"/>
          <w:b/>
          <w:color w:val="000099"/>
        </w:rPr>
        <w:t>nformation du client en cas de reprise des fonds</w:t>
      </w:r>
    </w:p>
    <w:p w14:paraId="44BFEE73" w14:textId="77777777" w:rsidR="009171EA" w:rsidRPr="005354E4" w:rsidRDefault="009171EA" w:rsidP="009171EA">
      <w:pPr>
        <w:pBdr>
          <w:top w:val="triple" w:sz="4" w:space="1" w:color="000099"/>
          <w:left w:val="triple" w:sz="4" w:space="4" w:color="000099"/>
          <w:bottom w:val="triple" w:sz="4" w:space="1" w:color="000099"/>
          <w:right w:val="triple" w:sz="4" w:space="4" w:color="000099"/>
        </w:pBdr>
        <w:jc w:val="both"/>
        <w:rPr>
          <w:rFonts w:cstheme="minorHAnsi"/>
          <w:b/>
        </w:rPr>
      </w:pPr>
      <w:r w:rsidRPr="005354E4">
        <w:rPr>
          <w:rFonts w:cstheme="minorHAnsi"/>
          <w:b/>
        </w:rPr>
        <w:t>En cas de remboursement susceptible de donner lieu à une reprise de fonds ultérieure</w:t>
      </w:r>
      <w:r w:rsidR="00310F78" w:rsidRPr="005354E4">
        <w:rPr>
          <w:rFonts w:cstheme="minorHAnsi"/>
          <w:b/>
        </w:rPr>
        <w:t xml:space="preserve"> en fonction du résultat d</w:t>
      </w:r>
      <w:r w:rsidR="003C6873" w:rsidRPr="005354E4">
        <w:rPr>
          <w:rFonts w:cstheme="minorHAnsi"/>
          <w:b/>
        </w:rPr>
        <w:t>‘</w:t>
      </w:r>
      <w:r w:rsidR="00310F78" w:rsidRPr="005354E4">
        <w:rPr>
          <w:rFonts w:cstheme="minorHAnsi"/>
          <w:b/>
        </w:rPr>
        <w:t>investigations</w:t>
      </w:r>
      <w:r w:rsidR="003C6873" w:rsidRPr="005354E4">
        <w:rPr>
          <w:rFonts w:cstheme="minorHAnsi"/>
          <w:b/>
        </w:rPr>
        <w:t xml:space="preserve"> engagées</w:t>
      </w:r>
      <w:r w:rsidRPr="005354E4">
        <w:rPr>
          <w:rFonts w:cstheme="minorHAnsi"/>
          <w:b/>
        </w:rPr>
        <w:t>, le prestataire de services de paiement informe son client de cette éventualité au moment du remboursement, et veille à ne pas procéder à la reprise des fonds dans un délai excédant 30 jours à compter de la date à laquelle le remboursement a été effectué</w:t>
      </w:r>
      <w:r w:rsidR="00EF3218" w:rsidRPr="005354E4">
        <w:rPr>
          <w:rFonts w:cstheme="minorHAnsi"/>
          <w:b/>
        </w:rPr>
        <w:t>, sauf situation exceptionnelle</w:t>
      </w:r>
      <w:r w:rsidRPr="005354E4">
        <w:rPr>
          <w:rFonts w:cstheme="minorHAnsi"/>
          <w:b/>
        </w:rPr>
        <w:t>.</w:t>
      </w:r>
    </w:p>
    <w:p w14:paraId="122B968F" w14:textId="77777777" w:rsidR="00A809D4" w:rsidRPr="005354E4" w:rsidRDefault="00BE75B4" w:rsidP="009B38D4">
      <w:pPr>
        <w:jc w:val="both"/>
        <w:rPr>
          <w:rFonts w:cstheme="minorHAnsi"/>
          <w:b/>
          <w:u w:val="single"/>
        </w:rPr>
      </w:pPr>
      <w:r w:rsidRPr="005354E4">
        <w:rPr>
          <w:rFonts w:cstheme="minorHAnsi"/>
          <w:b/>
          <w:u w:val="single"/>
        </w:rPr>
        <w:t>3.</w:t>
      </w:r>
      <w:r w:rsidR="009171EA" w:rsidRPr="005354E4">
        <w:rPr>
          <w:rFonts w:cstheme="minorHAnsi"/>
          <w:b/>
          <w:u w:val="single"/>
        </w:rPr>
        <w:t xml:space="preserve">3 </w:t>
      </w:r>
      <w:r w:rsidR="00A809D4" w:rsidRPr="005354E4">
        <w:rPr>
          <w:rFonts w:cstheme="minorHAnsi"/>
          <w:b/>
          <w:u w:val="single"/>
        </w:rPr>
        <w:t>Information délivrée au client en cas de refus de remboursement</w:t>
      </w:r>
      <w:r w:rsidR="009171EA" w:rsidRPr="005354E4">
        <w:rPr>
          <w:rFonts w:cstheme="minorHAnsi"/>
          <w:b/>
          <w:u w:val="single"/>
        </w:rPr>
        <w:t xml:space="preserve"> ou de reprise des fonds</w:t>
      </w:r>
    </w:p>
    <w:p w14:paraId="2D3BAB31" w14:textId="77777777" w:rsidR="00A809D4" w:rsidRPr="005354E4" w:rsidRDefault="00A809D4" w:rsidP="00373761">
      <w:pPr>
        <w:pBdr>
          <w:top w:val="triple" w:sz="4" w:space="1" w:color="000099"/>
          <w:left w:val="triple" w:sz="4" w:space="4" w:color="000099"/>
          <w:bottom w:val="triple" w:sz="4" w:space="1" w:color="000099"/>
          <w:right w:val="triple" w:sz="4" w:space="4" w:color="000099"/>
        </w:pBdr>
        <w:jc w:val="both"/>
        <w:rPr>
          <w:rFonts w:cstheme="minorHAnsi"/>
          <w:b/>
          <w:color w:val="000099"/>
        </w:rPr>
      </w:pPr>
      <w:r w:rsidRPr="005354E4">
        <w:rPr>
          <w:rFonts w:cstheme="minorHAnsi"/>
          <w:b/>
          <w:color w:val="000099"/>
        </w:rPr>
        <w:t>Recommandation</w:t>
      </w:r>
      <w:r w:rsidR="00BE75B4" w:rsidRPr="005354E4">
        <w:rPr>
          <w:rFonts w:cstheme="minorHAnsi"/>
          <w:b/>
          <w:color w:val="000099"/>
        </w:rPr>
        <w:t xml:space="preserve"> n°</w:t>
      </w:r>
      <w:r w:rsidR="00A95CC6" w:rsidRPr="005354E4">
        <w:rPr>
          <w:rFonts w:cstheme="minorHAnsi"/>
          <w:b/>
          <w:color w:val="000099"/>
        </w:rPr>
        <w:t> </w:t>
      </w:r>
      <w:r w:rsidR="009171EA" w:rsidRPr="005354E4">
        <w:rPr>
          <w:rFonts w:cstheme="minorHAnsi"/>
          <w:b/>
          <w:color w:val="000099"/>
        </w:rPr>
        <w:t>3</w:t>
      </w:r>
      <w:r w:rsidRPr="005354E4">
        <w:rPr>
          <w:rFonts w:cstheme="minorHAnsi"/>
          <w:b/>
          <w:color w:val="000099"/>
        </w:rPr>
        <w:t> :</w:t>
      </w:r>
      <w:r w:rsidR="00114D74" w:rsidRPr="005354E4">
        <w:rPr>
          <w:rFonts w:cstheme="minorHAnsi"/>
          <w:b/>
          <w:color w:val="000099"/>
        </w:rPr>
        <w:t xml:space="preserve"> </w:t>
      </w:r>
      <w:r w:rsidR="008A2E3C" w:rsidRPr="005354E4">
        <w:rPr>
          <w:rFonts w:cstheme="minorHAnsi"/>
          <w:b/>
          <w:color w:val="000099"/>
        </w:rPr>
        <w:t>justification</w:t>
      </w:r>
      <w:r w:rsidR="00114D74" w:rsidRPr="005354E4">
        <w:rPr>
          <w:rFonts w:cstheme="minorHAnsi"/>
          <w:b/>
          <w:color w:val="000099"/>
        </w:rPr>
        <w:t xml:space="preserve"> du refus de remboursement</w:t>
      </w:r>
    </w:p>
    <w:p w14:paraId="652335F7" w14:textId="77777777" w:rsidR="00A809D4" w:rsidRPr="005354E4" w:rsidRDefault="00A809D4" w:rsidP="00373761">
      <w:pPr>
        <w:pBdr>
          <w:top w:val="triple" w:sz="4" w:space="1" w:color="000099"/>
          <w:left w:val="triple" w:sz="4" w:space="4" w:color="000099"/>
          <w:bottom w:val="triple" w:sz="4" w:space="1" w:color="000099"/>
          <w:right w:val="triple" w:sz="4" w:space="4" w:color="000099"/>
        </w:pBdr>
        <w:jc w:val="both"/>
        <w:rPr>
          <w:rFonts w:cstheme="minorHAnsi"/>
          <w:b/>
        </w:rPr>
      </w:pPr>
      <w:r w:rsidRPr="005354E4">
        <w:rPr>
          <w:rFonts w:cstheme="minorHAnsi"/>
          <w:b/>
        </w:rPr>
        <w:t>Lorsque le prestataire de services de paiement refuse le remboursement ou procède à la reprise des fonds, il veille à informer le client de cette décision</w:t>
      </w:r>
      <w:r w:rsidR="00EF3218" w:rsidRPr="005354E4">
        <w:rPr>
          <w:rFonts w:cstheme="minorHAnsi"/>
          <w:b/>
        </w:rPr>
        <w:t xml:space="preserve"> et </w:t>
      </w:r>
      <w:r w:rsidRPr="005354E4">
        <w:rPr>
          <w:rFonts w:cstheme="minorHAnsi"/>
          <w:b/>
        </w:rPr>
        <w:t xml:space="preserve">lui </w:t>
      </w:r>
      <w:r w:rsidR="005020B3" w:rsidRPr="005354E4">
        <w:rPr>
          <w:rFonts w:cstheme="minorHAnsi"/>
          <w:b/>
        </w:rPr>
        <w:t xml:space="preserve">en </w:t>
      </w:r>
      <w:r w:rsidRPr="005354E4">
        <w:rPr>
          <w:rFonts w:cstheme="minorHAnsi"/>
          <w:b/>
        </w:rPr>
        <w:t xml:space="preserve">communique le motif, </w:t>
      </w:r>
      <w:r w:rsidR="00EF3218" w:rsidRPr="005354E4">
        <w:rPr>
          <w:rFonts w:cstheme="minorHAnsi"/>
          <w:b/>
        </w:rPr>
        <w:t xml:space="preserve">en prenant soin </w:t>
      </w:r>
      <w:r w:rsidR="00114D74" w:rsidRPr="005354E4">
        <w:rPr>
          <w:rFonts w:cstheme="minorHAnsi"/>
          <w:b/>
        </w:rPr>
        <w:t xml:space="preserve">le cas échéant </w:t>
      </w:r>
      <w:r w:rsidR="00EF3218" w:rsidRPr="005354E4">
        <w:rPr>
          <w:rFonts w:cstheme="minorHAnsi"/>
          <w:b/>
        </w:rPr>
        <w:t xml:space="preserve">de </w:t>
      </w:r>
      <w:r w:rsidRPr="005354E4">
        <w:rPr>
          <w:rFonts w:cstheme="minorHAnsi"/>
          <w:b/>
        </w:rPr>
        <w:t>join</w:t>
      </w:r>
      <w:r w:rsidR="00EF3218" w:rsidRPr="005354E4">
        <w:rPr>
          <w:rFonts w:cstheme="minorHAnsi"/>
          <w:b/>
        </w:rPr>
        <w:t>dre</w:t>
      </w:r>
      <w:r w:rsidRPr="005354E4">
        <w:rPr>
          <w:rFonts w:cstheme="minorHAnsi"/>
          <w:b/>
        </w:rPr>
        <w:t xml:space="preserve"> les éléments </w:t>
      </w:r>
      <w:r w:rsidR="00EF3218" w:rsidRPr="005354E4">
        <w:rPr>
          <w:rFonts w:cstheme="minorHAnsi"/>
          <w:b/>
        </w:rPr>
        <w:t xml:space="preserve">qui la justifient </w:t>
      </w:r>
      <w:r w:rsidRPr="005354E4">
        <w:rPr>
          <w:rFonts w:cstheme="minorHAnsi"/>
          <w:b/>
        </w:rPr>
        <w:t>(par exemple, mandat de prélèvement, éléments transmis par le commerçant, preuve de négligence grave…)</w:t>
      </w:r>
      <w:r w:rsidR="00EF3218" w:rsidRPr="005354E4">
        <w:rPr>
          <w:rFonts w:cstheme="minorHAnsi"/>
          <w:b/>
        </w:rPr>
        <w:t xml:space="preserve">. </w:t>
      </w:r>
      <w:r w:rsidR="006B508D" w:rsidRPr="005354E4">
        <w:rPr>
          <w:rFonts w:cstheme="minorHAnsi"/>
          <w:b/>
        </w:rPr>
        <w:t>En outre</w:t>
      </w:r>
      <w:r w:rsidR="00EF3218" w:rsidRPr="005354E4">
        <w:rPr>
          <w:rFonts w:cstheme="minorHAnsi"/>
          <w:b/>
        </w:rPr>
        <w:t>, il</w:t>
      </w:r>
      <w:r w:rsidRPr="005354E4">
        <w:rPr>
          <w:rFonts w:cstheme="minorHAnsi"/>
          <w:b/>
        </w:rPr>
        <w:t xml:space="preserve"> </w:t>
      </w:r>
      <w:r w:rsidR="006B508D" w:rsidRPr="005354E4">
        <w:rPr>
          <w:rFonts w:cstheme="minorHAnsi"/>
          <w:b/>
        </w:rPr>
        <w:t xml:space="preserve">détaille </w:t>
      </w:r>
      <w:r w:rsidR="00EF3218" w:rsidRPr="005354E4">
        <w:rPr>
          <w:rFonts w:cstheme="minorHAnsi"/>
          <w:b/>
        </w:rPr>
        <w:t xml:space="preserve">dans </w:t>
      </w:r>
      <w:r w:rsidR="006B508D" w:rsidRPr="005354E4">
        <w:rPr>
          <w:rFonts w:cstheme="minorHAnsi"/>
          <w:b/>
        </w:rPr>
        <w:t>cette même</w:t>
      </w:r>
      <w:r w:rsidR="00EF3218" w:rsidRPr="005354E4">
        <w:rPr>
          <w:rFonts w:cstheme="minorHAnsi"/>
          <w:b/>
        </w:rPr>
        <w:t xml:space="preserve"> communication </w:t>
      </w:r>
      <w:r w:rsidR="00442F9D" w:rsidRPr="005354E4">
        <w:rPr>
          <w:rFonts w:cstheme="minorHAnsi"/>
          <w:b/>
        </w:rPr>
        <w:t>l</w:t>
      </w:r>
      <w:r w:rsidRPr="005354E4">
        <w:rPr>
          <w:rFonts w:cstheme="minorHAnsi"/>
          <w:b/>
        </w:rPr>
        <w:t>es modalités suivant lesquelles une réclamation</w:t>
      </w:r>
      <w:r w:rsidR="00FA7BEC" w:rsidRPr="005354E4">
        <w:rPr>
          <w:rFonts w:cstheme="minorHAnsi"/>
          <w:b/>
        </w:rPr>
        <w:t xml:space="preserve"> peut être déposée</w:t>
      </w:r>
      <w:r w:rsidRPr="005354E4">
        <w:rPr>
          <w:rFonts w:cstheme="minorHAnsi"/>
          <w:b/>
        </w:rPr>
        <w:t>.</w:t>
      </w:r>
    </w:p>
    <w:p w14:paraId="12DA234B" w14:textId="77777777" w:rsidR="009B4DD5" w:rsidRDefault="009B4DD5">
      <w:pPr>
        <w:rPr>
          <w:rFonts w:eastAsia="Times New Roman" w:cstheme="minorHAnsi"/>
          <w:bCs/>
          <w:smallCaps/>
          <w:color w:val="000099"/>
          <w:sz w:val="28"/>
          <w:szCs w:val="32"/>
        </w:rPr>
      </w:pPr>
      <w:r>
        <w:rPr>
          <w:rFonts w:cstheme="minorHAnsi"/>
          <w:b/>
          <w:smallCaps/>
          <w:color w:val="000099"/>
          <w:sz w:val="28"/>
        </w:rPr>
        <w:br w:type="page"/>
      </w:r>
    </w:p>
    <w:p w14:paraId="5588B090" w14:textId="77777777" w:rsidR="00B10F92" w:rsidRPr="005354E4" w:rsidRDefault="00796410" w:rsidP="00944484">
      <w:pPr>
        <w:pStyle w:val="Titre1"/>
        <w:numPr>
          <w:ilvl w:val="0"/>
          <w:numId w:val="8"/>
        </w:numPr>
        <w:pBdr>
          <w:top w:val="single" w:sz="4" w:space="1" w:color="000099"/>
          <w:bottom w:val="single" w:sz="4" w:space="1" w:color="000099"/>
        </w:pBdr>
        <w:jc w:val="both"/>
        <w:rPr>
          <w:rFonts w:asciiTheme="minorHAnsi" w:hAnsiTheme="minorHAnsi" w:cstheme="minorHAnsi"/>
          <w:b w:val="0"/>
          <w:smallCaps/>
          <w:color w:val="000099"/>
          <w:sz w:val="28"/>
        </w:rPr>
      </w:pPr>
      <w:r w:rsidRPr="005354E4">
        <w:rPr>
          <w:rFonts w:asciiTheme="minorHAnsi" w:hAnsiTheme="minorHAnsi" w:cstheme="minorHAnsi"/>
          <w:b w:val="0"/>
          <w:smallCaps/>
          <w:color w:val="000099"/>
          <w:sz w:val="28"/>
        </w:rPr>
        <w:t>R</w:t>
      </w:r>
      <w:r w:rsidR="00C92071" w:rsidRPr="005354E4">
        <w:rPr>
          <w:rFonts w:asciiTheme="minorHAnsi" w:hAnsiTheme="minorHAnsi" w:cstheme="minorHAnsi"/>
          <w:b w:val="0"/>
          <w:smallCaps/>
          <w:color w:val="000099"/>
          <w:sz w:val="28"/>
        </w:rPr>
        <w:t>ecommandations</w:t>
      </w:r>
      <w:r w:rsidRPr="005354E4">
        <w:rPr>
          <w:rFonts w:asciiTheme="minorHAnsi" w:hAnsiTheme="minorHAnsi" w:cstheme="minorHAnsi"/>
          <w:b w:val="0"/>
          <w:smallCaps/>
          <w:color w:val="000099"/>
          <w:sz w:val="28"/>
        </w:rPr>
        <w:t xml:space="preserve"> applicables au traitement de cas</w:t>
      </w:r>
      <w:r w:rsidR="004B12B4" w:rsidRPr="005354E4">
        <w:rPr>
          <w:rFonts w:asciiTheme="minorHAnsi" w:hAnsiTheme="minorHAnsi" w:cstheme="minorHAnsi"/>
          <w:b w:val="0"/>
          <w:smallCaps/>
          <w:color w:val="000099"/>
          <w:sz w:val="28"/>
        </w:rPr>
        <w:t xml:space="preserve"> spécifiques</w:t>
      </w:r>
    </w:p>
    <w:p w14:paraId="77EA669E" w14:textId="77777777" w:rsidR="00CC5746" w:rsidRPr="005354E4" w:rsidRDefault="00CC5746" w:rsidP="00373761">
      <w:pPr>
        <w:spacing w:after="0"/>
        <w:jc w:val="both"/>
        <w:rPr>
          <w:rFonts w:cstheme="minorHAnsi"/>
        </w:rPr>
      </w:pPr>
    </w:p>
    <w:p w14:paraId="766FA139" w14:textId="77777777" w:rsidR="00CC5746" w:rsidRPr="005354E4" w:rsidRDefault="00CC5746" w:rsidP="00CC5746">
      <w:pPr>
        <w:jc w:val="both"/>
        <w:rPr>
          <w:rFonts w:cstheme="minorHAnsi"/>
        </w:rPr>
      </w:pPr>
      <w:r w:rsidRPr="005354E4">
        <w:rPr>
          <w:rFonts w:cstheme="minorHAnsi"/>
        </w:rPr>
        <w:t>Les cas présentés ci-après excluent volontairement les demandes de remboursement ne relevant pas du périmètre de la fraude aux moyens de paiement, tels que les litiges commerciaux et les escroqueries</w:t>
      </w:r>
      <w:r w:rsidRPr="005354E4">
        <w:rPr>
          <w:rFonts w:cstheme="minorHAnsi"/>
          <w:b/>
        </w:rPr>
        <w:t xml:space="preserve"> </w:t>
      </w:r>
      <w:r w:rsidRPr="005354E4">
        <w:rPr>
          <w:rFonts w:cstheme="minorHAnsi"/>
        </w:rPr>
        <w:t>(ex: faux produits d’épargne, investissements dans des crypto-actifs crapuleux, arnaques au crédit, etc.)</w:t>
      </w:r>
      <w:r w:rsidR="0045461B" w:rsidRPr="005354E4">
        <w:rPr>
          <w:rFonts w:cstheme="minorHAnsi"/>
        </w:rPr>
        <w:t>, lorsque les opérations concernées ont été autorisées</w:t>
      </w:r>
      <w:r w:rsidRPr="005354E4">
        <w:rPr>
          <w:rFonts w:cstheme="minorHAnsi"/>
        </w:rPr>
        <w:t xml:space="preserve">. </w:t>
      </w:r>
    </w:p>
    <w:p w14:paraId="33890237" w14:textId="77777777" w:rsidR="00CC5746" w:rsidRPr="005354E4" w:rsidRDefault="00CC5746" w:rsidP="00CC5746">
      <w:pPr>
        <w:jc w:val="both"/>
        <w:rPr>
          <w:rFonts w:cstheme="minorHAnsi"/>
          <w:b/>
        </w:rPr>
      </w:pPr>
      <w:r w:rsidRPr="005354E4">
        <w:rPr>
          <w:rFonts w:cstheme="minorHAnsi"/>
        </w:rPr>
        <w:t>De même, les recommandations sont centrées sur l’application du droit à remboursement prévu par la réglementation</w:t>
      </w:r>
      <w:r w:rsidR="0045461B" w:rsidRPr="005354E4">
        <w:rPr>
          <w:rFonts w:cstheme="minorHAnsi"/>
        </w:rPr>
        <w:t xml:space="preserve"> relative aux moyens de paiement</w:t>
      </w:r>
      <w:r w:rsidRPr="005354E4">
        <w:rPr>
          <w:rFonts w:cstheme="minorHAnsi"/>
        </w:rPr>
        <w:t>, et exclu</w:t>
      </w:r>
      <w:r w:rsidR="002B77BD">
        <w:rPr>
          <w:rFonts w:cstheme="minorHAnsi"/>
        </w:rPr>
        <w:t>en</w:t>
      </w:r>
      <w:r w:rsidRPr="005354E4">
        <w:rPr>
          <w:rFonts w:cstheme="minorHAnsi"/>
        </w:rPr>
        <w:t xml:space="preserve">t les autres mécanismes </w:t>
      </w:r>
      <w:r w:rsidR="009F6B01" w:rsidRPr="005354E4">
        <w:rPr>
          <w:rFonts w:cstheme="minorHAnsi"/>
        </w:rPr>
        <w:t>pouvant</w:t>
      </w:r>
      <w:r w:rsidRPr="005354E4">
        <w:rPr>
          <w:rFonts w:cstheme="minorHAnsi"/>
        </w:rPr>
        <w:t xml:space="preserve"> exister par ailleurs, tels que les assurances </w:t>
      </w:r>
      <w:r w:rsidR="00604AC9" w:rsidRPr="005354E4">
        <w:rPr>
          <w:rFonts w:cstheme="minorHAnsi"/>
        </w:rPr>
        <w:t xml:space="preserve">de </w:t>
      </w:r>
      <w:r w:rsidRPr="005354E4">
        <w:rPr>
          <w:rFonts w:cstheme="minorHAnsi"/>
        </w:rPr>
        <w:t>moyens de paiement</w:t>
      </w:r>
      <w:r w:rsidR="004E6922" w:rsidRPr="005354E4">
        <w:rPr>
          <w:rFonts w:cstheme="minorHAnsi"/>
        </w:rPr>
        <w:t>, ou encore</w:t>
      </w:r>
      <w:r w:rsidRPr="005354E4">
        <w:rPr>
          <w:rFonts w:cstheme="minorHAnsi"/>
        </w:rPr>
        <w:t xml:space="preserve"> les gestes commerciaux </w:t>
      </w:r>
      <w:r w:rsidR="00A95CC6" w:rsidRPr="005354E4">
        <w:rPr>
          <w:rFonts w:cstheme="minorHAnsi"/>
        </w:rPr>
        <w:t xml:space="preserve">consentis par les </w:t>
      </w:r>
      <w:r w:rsidR="00A8715E" w:rsidRPr="005354E4">
        <w:rPr>
          <w:rFonts w:cstheme="minorHAnsi"/>
        </w:rPr>
        <w:t>prestataires de services de paiement</w:t>
      </w:r>
      <w:r w:rsidRPr="005354E4">
        <w:rPr>
          <w:rFonts w:cstheme="minorHAnsi"/>
        </w:rPr>
        <w:t xml:space="preserve">. </w:t>
      </w:r>
    </w:p>
    <w:p w14:paraId="2A26D139" w14:textId="77777777" w:rsidR="00C92071" w:rsidRPr="005354E4" w:rsidRDefault="00C92071" w:rsidP="00373761">
      <w:pPr>
        <w:pStyle w:val="Paragraphedeliste"/>
        <w:spacing w:after="0" w:line="240" w:lineRule="auto"/>
        <w:ind w:left="360"/>
        <w:jc w:val="both"/>
        <w:rPr>
          <w:rFonts w:eastAsia="Cambria" w:cstheme="minorHAnsi"/>
          <w:b/>
          <w:vanish/>
          <w:u w:val="single"/>
        </w:rPr>
      </w:pPr>
    </w:p>
    <w:p w14:paraId="2E3537FF" w14:textId="77777777" w:rsidR="00B10F92" w:rsidRPr="005354E4" w:rsidRDefault="00BE75B4" w:rsidP="00373761">
      <w:pPr>
        <w:spacing w:after="0" w:line="240" w:lineRule="auto"/>
        <w:jc w:val="both"/>
        <w:rPr>
          <w:rFonts w:eastAsia="Cambria" w:cstheme="minorHAnsi"/>
          <w:b/>
        </w:rPr>
      </w:pPr>
      <w:r w:rsidRPr="005354E4">
        <w:rPr>
          <w:rFonts w:eastAsia="Cambria" w:cstheme="minorHAnsi"/>
          <w:b/>
        </w:rPr>
        <w:t xml:space="preserve">4.1 </w:t>
      </w:r>
      <w:r w:rsidR="0045461B" w:rsidRPr="005354E4">
        <w:rPr>
          <w:rFonts w:eastAsia="Cambria" w:cstheme="minorHAnsi"/>
          <w:b/>
        </w:rPr>
        <w:t xml:space="preserve">Opérations de paiement effectuées </w:t>
      </w:r>
      <w:r w:rsidR="00796410" w:rsidRPr="005354E4">
        <w:rPr>
          <w:rFonts w:eastAsia="Cambria" w:cstheme="minorHAnsi"/>
          <w:b/>
        </w:rPr>
        <w:t>sans authentification forte</w:t>
      </w:r>
    </w:p>
    <w:p w14:paraId="4AB205A2" w14:textId="77777777" w:rsidR="00B510EC" w:rsidRPr="005354E4" w:rsidRDefault="00B510EC" w:rsidP="00B510EC">
      <w:pPr>
        <w:pStyle w:val="Paragraphedeliste"/>
        <w:spacing w:after="0" w:line="240" w:lineRule="auto"/>
        <w:jc w:val="both"/>
        <w:rPr>
          <w:rFonts w:eastAsia="Cambria" w:cstheme="minorHAnsi"/>
          <w:b/>
          <w:sz w:val="20"/>
          <w:szCs w:val="24"/>
          <w:u w:val="single"/>
        </w:rPr>
      </w:pPr>
    </w:p>
    <w:p w14:paraId="2A8EE315" w14:textId="77777777" w:rsidR="004E6922" w:rsidRPr="005354E4" w:rsidRDefault="0045461B" w:rsidP="00415730">
      <w:pPr>
        <w:jc w:val="both"/>
        <w:rPr>
          <w:rFonts w:cstheme="minorHAnsi"/>
        </w:rPr>
      </w:pPr>
      <w:r w:rsidRPr="005354E4">
        <w:rPr>
          <w:rFonts w:cstheme="minorHAnsi"/>
        </w:rPr>
        <w:t xml:space="preserve">Il convient de </w:t>
      </w:r>
      <w:r w:rsidR="0031712C" w:rsidRPr="005354E4">
        <w:rPr>
          <w:rFonts w:cstheme="minorHAnsi"/>
        </w:rPr>
        <w:t xml:space="preserve">rappeler que toutes les </w:t>
      </w:r>
      <w:r w:rsidRPr="005354E4">
        <w:rPr>
          <w:rFonts w:cstheme="minorHAnsi"/>
        </w:rPr>
        <w:t xml:space="preserve">opérations ne </w:t>
      </w:r>
      <w:r w:rsidR="0031712C" w:rsidRPr="005354E4">
        <w:rPr>
          <w:rFonts w:cstheme="minorHAnsi"/>
        </w:rPr>
        <w:t>sont pas soumises</w:t>
      </w:r>
      <w:r w:rsidRPr="005354E4">
        <w:rPr>
          <w:rFonts w:cstheme="minorHAnsi"/>
        </w:rPr>
        <w:t xml:space="preserve"> à l’obligation d’authentification forte</w:t>
      </w:r>
      <w:r w:rsidR="004E6922" w:rsidRPr="005354E4">
        <w:rPr>
          <w:rFonts w:cstheme="minorHAnsi"/>
        </w:rPr>
        <w:t>, la réglementation issue de la deuxième</w:t>
      </w:r>
      <w:r w:rsidR="009311C4" w:rsidRPr="005354E4">
        <w:rPr>
          <w:rFonts w:cstheme="minorHAnsi"/>
        </w:rPr>
        <w:t xml:space="preserve"> directive européenne sur les services de paiement (DSP2) </w:t>
      </w:r>
      <w:r w:rsidR="004E6922" w:rsidRPr="005354E4">
        <w:rPr>
          <w:rFonts w:cstheme="minorHAnsi"/>
        </w:rPr>
        <w:t>prévoyant un ensemble de cas d’exclusion ou d’exemption à son application :</w:t>
      </w:r>
    </w:p>
    <w:p w14:paraId="46AA5E31" w14:textId="77777777" w:rsidR="009311C4" w:rsidRPr="005354E4" w:rsidRDefault="004E6922" w:rsidP="00CC7CE6">
      <w:pPr>
        <w:pStyle w:val="Paragraphedeliste"/>
        <w:numPr>
          <w:ilvl w:val="0"/>
          <w:numId w:val="48"/>
        </w:numPr>
        <w:ind w:left="425" w:hanging="357"/>
        <w:contextualSpacing w:val="0"/>
        <w:jc w:val="both"/>
        <w:rPr>
          <w:rFonts w:cstheme="minorHAnsi"/>
        </w:rPr>
      </w:pPr>
      <w:r w:rsidRPr="005354E4">
        <w:rPr>
          <w:rFonts w:cstheme="minorHAnsi"/>
        </w:rPr>
        <w:t>Les</w:t>
      </w:r>
      <w:r w:rsidR="00E85274" w:rsidRPr="005354E4">
        <w:rPr>
          <w:rFonts w:cstheme="minorHAnsi"/>
        </w:rPr>
        <w:t xml:space="preserve"> </w:t>
      </w:r>
      <w:r w:rsidR="00E85274" w:rsidRPr="005354E4">
        <w:rPr>
          <w:rFonts w:cstheme="minorHAnsi"/>
          <w:b/>
        </w:rPr>
        <w:t>paiements en dehors de l’Union Européenne</w:t>
      </w:r>
      <w:r w:rsidRPr="005354E4">
        <w:rPr>
          <w:rFonts w:cstheme="minorHAnsi"/>
          <w:b/>
        </w:rPr>
        <w:t xml:space="preserve"> (transactions dites </w:t>
      </w:r>
      <w:r w:rsidRPr="005354E4">
        <w:rPr>
          <w:rFonts w:cstheme="minorHAnsi"/>
          <w:b/>
          <w:i/>
        </w:rPr>
        <w:t>one leg</w:t>
      </w:r>
      <w:r w:rsidRPr="005354E4">
        <w:rPr>
          <w:rFonts w:cstheme="minorHAnsi"/>
          <w:b/>
        </w:rPr>
        <w:t>) </w:t>
      </w:r>
      <w:r w:rsidRPr="005354E4">
        <w:rPr>
          <w:rFonts w:cstheme="minorHAnsi"/>
        </w:rPr>
        <w:t>;</w:t>
      </w:r>
    </w:p>
    <w:p w14:paraId="10EC552C" w14:textId="77777777" w:rsidR="004E6922" w:rsidRPr="005354E4" w:rsidRDefault="004E6922" w:rsidP="00CC7CE6">
      <w:pPr>
        <w:pStyle w:val="Paragraphedeliste"/>
        <w:numPr>
          <w:ilvl w:val="0"/>
          <w:numId w:val="48"/>
        </w:numPr>
        <w:ind w:left="425" w:hanging="357"/>
        <w:contextualSpacing w:val="0"/>
        <w:jc w:val="both"/>
        <w:rPr>
          <w:rFonts w:cstheme="minorHAnsi"/>
        </w:rPr>
      </w:pPr>
      <w:r w:rsidRPr="005354E4">
        <w:rPr>
          <w:rFonts w:cstheme="minorHAnsi"/>
        </w:rPr>
        <w:t xml:space="preserve">Les </w:t>
      </w:r>
      <w:r w:rsidR="0047686E" w:rsidRPr="005354E4">
        <w:rPr>
          <w:rFonts w:cstheme="minorHAnsi"/>
          <w:b/>
        </w:rPr>
        <w:t xml:space="preserve">ordres de paiement </w:t>
      </w:r>
      <w:r w:rsidRPr="005354E4">
        <w:rPr>
          <w:rFonts w:cstheme="minorHAnsi"/>
          <w:b/>
        </w:rPr>
        <w:t xml:space="preserve">émis </w:t>
      </w:r>
      <w:r w:rsidR="00A95CC6" w:rsidRPr="005354E4">
        <w:rPr>
          <w:rFonts w:cstheme="minorHAnsi"/>
          <w:b/>
        </w:rPr>
        <w:t>par le</w:t>
      </w:r>
      <w:r w:rsidR="0047686E" w:rsidRPr="005354E4">
        <w:rPr>
          <w:rFonts w:cstheme="minorHAnsi"/>
          <w:b/>
        </w:rPr>
        <w:t xml:space="preserve"> </w:t>
      </w:r>
      <w:r w:rsidRPr="005354E4">
        <w:rPr>
          <w:rFonts w:cstheme="minorHAnsi"/>
          <w:b/>
        </w:rPr>
        <w:t>bénéficiaire du paiement</w:t>
      </w:r>
      <w:r w:rsidRPr="005354E4">
        <w:rPr>
          <w:rFonts w:cstheme="minorHAnsi"/>
        </w:rPr>
        <w:t xml:space="preserve">, tels que les prélèvements ou les paiements par carte de type </w:t>
      </w:r>
      <w:r w:rsidRPr="005354E4">
        <w:rPr>
          <w:rFonts w:cstheme="minorHAnsi"/>
          <w:i/>
        </w:rPr>
        <w:t>Merchant Initiated Transactions</w:t>
      </w:r>
      <w:r w:rsidRPr="005354E4">
        <w:rPr>
          <w:rFonts w:cstheme="minorHAnsi"/>
        </w:rPr>
        <w:t xml:space="preserve"> (</w:t>
      </w:r>
      <w:r w:rsidRPr="005354E4">
        <w:rPr>
          <w:rFonts w:cstheme="minorHAnsi"/>
          <w:b/>
        </w:rPr>
        <w:t>MIT</w:t>
      </w:r>
      <w:r w:rsidRPr="005354E4">
        <w:rPr>
          <w:rFonts w:cstheme="minorHAnsi"/>
        </w:rPr>
        <w:t xml:space="preserve">), c’est-à-dire émis par le commerçant sans connexion active de l’utilisateur correspondant notamment </w:t>
      </w:r>
      <w:r w:rsidR="00A95CC6" w:rsidRPr="005354E4">
        <w:rPr>
          <w:rFonts w:cstheme="minorHAnsi"/>
        </w:rPr>
        <w:t xml:space="preserve">les </w:t>
      </w:r>
      <w:r w:rsidRPr="005354E4">
        <w:rPr>
          <w:rFonts w:cstheme="minorHAnsi"/>
        </w:rPr>
        <w:t xml:space="preserve">paiements fractionnés ou différés, </w:t>
      </w:r>
      <w:r w:rsidR="00A95CC6" w:rsidRPr="005354E4">
        <w:rPr>
          <w:rFonts w:cstheme="minorHAnsi"/>
        </w:rPr>
        <w:t xml:space="preserve">les </w:t>
      </w:r>
      <w:r w:rsidRPr="005354E4">
        <w:rPr>
          <w:rFonts w:cstheme="minorHAnsi"/>
        </w:rPr>
        <w:t xml:space="preserve">abonnements et </w:t>
      </w:r>
      <w:r w:rsidR="00A95CC6" w:rsidRPr="005354E4">
        <w:rPr>
          <w:rFonts w:cstheme="minorHAnsi"/>
        </w:rPr>
        <w:t xml:space="preserve">les </w:t>
      </w:r>
      <w:r w:rsidRPr="005354E4">
        <w:rPr>
          <w:rFonts w:cstheme="minorHAnsi"/>
        </w:rPr>
        <w:t>paiements à l’usage ;</w:t>
      </w:r>
    </w:p>
    <w:p w14:paraId="558C2484" w14:textId="77777777" w:rsidR="004E6922" w:rsidRPr="005354E4" w:rsidRDefault="004E6922" w:rsidP="00CC7CE6">
      <w:pPr>
        <w:pStyle w:val="Paragraphedeliste"/>
        <w:numPr>
          <w:ilvl w:val="0"/>
          <w:numId w:val="48"/>
        </w:numPr>
        <w:ind w:left="426"/>
        <w:jc w:val="both"/>
        <w:rPr>
          <w:rFonts w:cstheme="minorHAnsi"/>
        </w:rPr>
      </w:pPr>
      <w:r w:rsidRPr="005354E4">
        <w:rPr>
          <w:rFonts w:cstheme="minorHAnsi"/>
        </w:rPr>
        <w:t xml:space="preserve">Les </w:t>
      </w:r>
      <w:r w:rsidRPr="005354E4">
        <w:rPr>
          <w:rFonts w:cstheme="minorHAnsi"/>
          <w:b/>
        </w:rPr>
        <w:t>paiements éligibles à un motif d’exemption à l’authentification forte prévu par les normes techniques de règlementation (RTS)</w:t>
      </w:r>
      <w:r w:rsidRPr="005354E4">
        <w:rPr>
          <w:rFonts w:cstheme="minorHAnsi"/>
        </w:rPr>
        <w:t xml:space="preserve"> arrêtées par l’Autorité Bancaire Européenne</w:t>
      </w:r>
      <w:r w:rsidR="00A8715E" w:rsidRPr="005354E4">
        <w:rPr>
          <w:rStyle w:val="Appelnotedebasdep"/>
          <w:rFonts w:cstheme="minorHAnsi"/>
        </w:rPr>
        <w:footnoteReference w:id="5"/>
      </w:r>
      <w:r w:rsidRPr="005354E4">
        <w:rPr>
          <w:rFonts w:cstheme="minorHAnsi"/>
        </w:rPr>
        <w:t> :</w:t>
      </w:r>
    </w:p>
    <w:p w14:paraId="7C61CA3F" w14:textId="77777777" w:rsidR="004E6922" w:rsidRPr="005354E4" w:rsidRDefault="004E6922" w:rsidP="00CC7CE6">
      <w:pPr>
        <w:pStyle w:val="Paragraphedeliste"/>
        <w:numPr>
          <w:ilvl w:val="1"/>
          <w:numId w:val="48"/>
        </w:numPr>
        <w:ind w:left="993"/>
        <w:jc w:val="both"/>
      </w:pPr>
      <w:r w:rsidRPr="005354E4">
        <w:t>Les paiements</w:t>
      </w:r>
      <w:r w:rsidR="00A8715E" w:rsidRPr="005354E4">
        <w:t xml:space="preserve"> sur internet</w:t>
      </w:r>
      <w:r w:rsidRPr="005354E4">
        <w:t xml:space="preserve"> de faible valeur (article 16), soit moins de trente euros et dans la limite de cinq opérations consécutives ou d’un montant cumulé de cent euros</w:t>
      </w:r>
      <w:r w:rsidR="00A95CC6" w:rsidRPr="005354E4">
        <w:t> </w:t>
      </w:r>
      <w:r w:rsidRPr="005354E4">
        <w:t xml:space="preserve">; </w:t>
      </w:r>
    </w:p>
    <w:p w14:paraId="4E98BB1D" w14:textId="77777777" w:rsidR="004E6922" w:rsidRPr="005354E4" w:rsidRDefault="004E6922" w:rsidP="00CC7CE6">
      <w:pPr>
        <w:pStyle w:val="Paragraphedeliste"/>
        <w:numPr>
          <w:ilvl w:val="1"/>
          <w:numId w:val="48"/>
        </w:numPr>
        <w:ind w:left="993"/>
        <w:jc w:val="both"/>
      </w:pPr>
      <w:r w:rsidRPr="005354E4">
        <w:t>Les paiements présentant un faible niveau de risque (article 18), c’est</w:t>
      </w:r>
      <w:r w:rsidRPr="005354E4">
        <w:noBreakHyphen/>
        <w:t>à</w:t>
      </w:r>
      <w:r w:rsidRPr="005354E4">
        <w:noBreakHyphen/>
        <w:t>dire correspondant aux habitudes de paiement du porteur (achat depuis son terminal habituel, adresse de livraison connue, nature de l’achat, montant, etc.) et pour un montant n’excédant pas cinq cents euros</w:t>
      </w:r>
      <w:r w:rsidR="00A95CC6" w:rsidRPr="005354E4">
        <w:t> </w:t>
      </w:r>
      <w:r w:rsidRPr="005354E4">
        <w:t xml:space="preserve">; </w:t>
      </w:r>
    </w:p>
    <w:p w14:paraId="544F147C" w14:textId="77777777" w:rsidR="004E6922" w:rsidRPr="005354E4" w:rsidRDefault="004E6922" w:rsidP="00CC7CE6">
      <w:pPr>
        <w:pStyle w:val="Paragraphedeliste"/>
        <w:numPr>
          <w:ilvl w:val="1"/>
          <w:numId w:val="48"/>
        </w:numPr>
        <w:ind w:left="993"/>
        <w:jc w:val="both"/>
      </w:pPr>
      <w:r w:rsidRPr="005354E4">
        <w:t>Les paiements récurrents (article 14), c’est</w:t>
      </w:r>
      <w:r w:rsidRPr="005354E4">
        <w:noBreakHyphen/>
        <w:t>à</w:t>
      </w:r>
      <w:r w:rsidRPr="005354E4">
        <w:noBreakHyphen/>
        <w:t>dire d’un montant et d’une périodicité fixes</w:t>
      </w:r>
      <w:r w:rsidR="00A8715E" w:rsidRPr="005354E4">
        <w:t xml:space="preserve"> </w:t>
      </w:r>
      <w:r w:rsidR="00A95CC6" w:rsidRPr="005354E4">
        <w:t>en faveur du</w:t>
      </w:r>
      <w:r w:rsidR="00A8715E" w:rsidRPr="005354E4">
        <w:t xml:space="preserve"> même bénéficiaire</w:t>
      </w:r>
      <w:r w:rsidRPr="005354E4">
        <w:t>, à compter de la deuxième transaction</w:t>
      </w:r>
      <w:r w:rsidR="00A95CC6" w:rsidRPr="005354E4">
        <w:t> </w:t>
      </w:r>
      <w:r w:rsidRPr="005354E4">
        <w:t xml:space="preserve">; </w:t>
      </w:r>
    </w:p>
    <w:p w14:paraId="78D1C7CA" w14:textId="77777777" w:rsidR="004E6922" w:rsidRPr="005354E4" w:rsidRDefault="004E6922" w:rsidP="00CC7CE6">
      <w:pPr>
        <w:pStyle w:val="Paragraphedeliste"/>
        <w:numPr>
          <w:ilvl w:val="1"/>
          <w:numId w:val="48"/>
        </w:numPr>
        <w:ind w:left="993"/>
        <w:jc w:val="both"/>
      </w:pPr>
      <w:r w:rsidRPr="005354E4">
        <w:t>Les paiements vers un bénéficiaire de confiance (article 13), c’est</w:t>
      </w:r>
      <w:r w:rsidRPr="005354E4">
        <w:noBreakHyphen/>
        <w:t>à</w:t>
      </w:r>
      <w:r w:rsidRPr="005354E4">
        <w:noBreakHyphen/>
        <w:t xml:space="preserve">dire vers un bénéficiaire désigné comme étant de confiance par le </w:t>
      </w:r>
      <w:r w:rsidR="00761EB6" w:rsidRPr="005354E4">
        <w:t>payeur</w:t>
      </w:r>
      <w:r w:rsidRPr="005354E4">
        <w:t>, cette désignation ayant elle</w:t>
      </w:r>
      <w:r w:rsidRPr="005354E4">
        <w:noBreakHyphen/>
        <w:t xml:space="preserve">même fait l’objet d’une authentification forte </w:t>
      </w:r>
      <w:r w:rsidR="00761EB6" w:rsidRPr="005354E4">
        <w:t>(cette authentification forte</w:t>
      </w:r>
      <w:r w:rsidR="0063434B" w:rsidRPr="005354E4">
        <w:t xml:space="preserve"> </w:t>
      </w:r>
      <w:r w:rsidR="00A95CC6" w:rsidRPr="005354E4">
        <w:t xml:space="preserve">lors de </w:t>
      </w:r>
      <w:r w:rsidR="0063434B" w:rsidRPr="005354E4">
        <w:t>l’ajout du bénéficiaire</w:t>
      </w:r>
      <w:r w:rsidR="00761EB6" w:rsidRPr="005354E4">
        <w:t xml:space="preserve"> </w:t>
      </w:r>
      <w:r w:rsidR="0063434B" w:rsidRPr="005354E4">
        <w:t>n’ayant ni pour objet ni pour effet d’authentifier de manière forte les opérations de paiement ultérieurement effectuées en faveur de ce bénéficiaire)</w:t>
      </w:r>
      <w:r w:rsidRPr="005354E4">
        <w:t xml:space="preserve"> ; </w:t>
      </w:r>
    </w:p>
    <w:p w14:paraId="22EA7C0F" w14:textId="77777777" w:rsidR="004E6922" w:rsidRPr="005354E4" w:rsidRDefault="004E6922" w:rsidP="00CC7CE6">
      <w:pPr>
        <w:pStyle w:val="Paragraphedeliste"/>
        <w:numPr>
          <w:ilvl w:val="1"/>
          <w:numId w:val="48"/>
        </w:numPr>
        <w:ind w:left="993" w:hanging="357"/>
        <w:contextualSpacing w:val="0"/>
        <w:jc w:val="both"/>
      </w:pPr>
      <w:r w:rsidRPr="005354E4">
        <w:t>Les paiements initiés électroniquement via des processus ou protocoles de paiement sécurisés réservés à un usage entre professionnels (article 17).</w:t>
      </w:r>
    </w:p>
    <w:p w14:paraId="18A5FFAD" w14:textId="77777777" w:rsidR="00A107E0" w:rsidRPr="005354E4" w:rsidRDefault="004E6922" w:rsidP="00CC7CE6">
      <w:pPr>
        <w:pStyle w:val="Paragraphedeliste"/>
        <w:numPr>
          <w:ilvl w:val="0"/>
          <w:numId w:val="48"/>
        </w:numPr>
        <w:ind w:left="426" w:hanging="357"/>
        <w:contextualSpacing w:val="0"/>
        <w:jc w:val="both"/>
        <w:rPr>
          <w:rFonts w:cstheme="minorHAnsi"/>
        </w:rPr>
      </w:pPr>
      <w:r w:rsidRPr="005354E4">
        <w:rPr>
          <w:rFonts w:cstheme="minorHAnsi"/>
        </w:rPr>
        <w:t xml:space="preserve">Les </w:t>
      </w:r>
      <w:r w:rsidRPr="005354E4">
        <w:rPr>
          <w:rFonts w:cstheme="minorHAnsi"/>
          <w:b/>
        </w:rPr>
        <w:t>paiements émis dans le cadre des mécanismes de continuité des infrastructures d’authentification</w:t>
      </w:r>
      <w:r w:rsidRPr="005354E4">
        <w:rPr>
          <w:rFonts w:cstheme="minorHAnsi"/>
        </w:rPr>
        <w:t>, en</w:t>
      </w:r>
      <w:r w:rsidR="00A107E0" w:rsidRPr="005354E4">
        <w:rPr>
          <w:rFonts w:cstheme="minorHAnsi"/>
        </w:rPr>
        <w:t xml:space="preserve"> cas d’incident ne permettant pas de mettre en œuvre l’authentification forte</w:t>
      </w:r>
      <w:r w:rsidRPr="005354E4">
        <w:rPr>
          <w:rFonts w:cstheme="minorHAnsi"/>
        </w:rPr>
        <w:t xml:space="preserve"> du payeur</w:t>
      </w:r>
      <w:r w:rsidR="00A47D97" w:rsidRPr="005354E4">
        <w:rPr>
          <w:rFonts w:cstheme="minorHAnsi"/>
        </w:rPr>
        <w:t>, ainsi que les paiements par carte bancaire effectués durant la phase transitoire (du 14 septembre 2019</w:t>
      </w:r>
      <w:r w:rsidR="005020B3" w:rsidRPr="005354E4">
        <w:rPr>
          <w:rFonts w:cstheme="minorHAnsi"/>
        </w:rPr>
        <w:t xml:space="preserve"> au 15 juin 2021</w:t>
      </w:r>
      <w:r w:rsidR="00A47D97" w:rsidRPr="005354E4">
        <w:rPr>
          <w:rFonts w:cstheme="minorHAnsi"/>
        </w:rPr>
        <w:t>) de déploiement de l’authentification forte</w:t>
      </w:r>
      <w:r w:rsidR="00766595" w:rsidRPr="005354E4">
        <w:rPr>
          <w:rFonts w:cstheme="minorHAnsi"/>
        </w:rPr>
        <w:t>.</w:t>
      </w:r>
    </w:p>
    <w:p w14:paraId="334E5A7A" w14:textId="77777777" w:rsidR="00937A6A" w:rsidRPr="005354E4" w:rsidRDefault="005B6CFF" w:rsidP="00415730">
      <w:pPr>
        <w:jc w:val="both"/>
        <w:rPr>
          <w:rFonts w:cstheme="minorHAnsi"/>
        </w:rPr>
      </w:pPr>
      <w:r w:rsidRPr="005354E4">
        <w:rPr>
          <w:rFonts w:cstheme="minorHAnsi"/>
        </w:rPr>
        <w:t xml:space="preserve">Dans tous les cas </w:t>
      </w:r>
      <w:r w:rsidR="00F33CF9" w:rsidRPr="005354E4">
        <w:rPr>
          <w:rFonts w:cstheme="minorHAnsi"/>
        </w:rPr>
        <w:t>listés</w:t>
      </w:r>
      <w:r w:rsidRPr="005354E4">
        <w:rPr>
          <w:rFonts w:cstheme="minorHAnsi"/>
        </w:rPr>
        <w:t xml:space="preserve"> ci-dessus, </w:t>
      </w:r>
      <w:r w:rsidR="00A47D97" w:rsidRPr="005354E4">
        <w:rPr>
          <w:rFonts w:cstheme="minorHAnsi"/>
        </w:rPr>
        <w:t>l’opération</w:t>
      </w:r>
      <w:r w:rsidRPr="005354E4">
        <w:rPr>
          <w:rFonts w:cstheme="minorHAnsi"/>
        </w:rPr>
        <w:t xml:space="preserve"> ne peut pas être considérée comme </w:t>
      </w:r>
      <w:r w:rsidR="00A47D97" w:rsidRPr="005354E4">
        <w:rPr>
          <w:rFonts w:cstheme="minorHAnsi"/>
        </w:rPr>
        <w:t xml:space="preserve">authentifiée de manière forte </w:t>
      </w:r>
      <w:r w:rsidRPr="005354E4">
        <w:rPr>
          <w:rFonts w:cstheme="minorHAnsi"/>
        </w:rPr>
        <w:t>au sens de la</w:t>
      </w:r>
      <w:r w:rsidR="00A47D97" w:rsidRPr="005354E4">
        <w:rPr>
          <w:rFonts w:cstheme="minorHAnsi"/>
        </w:rPr>
        <w:t xml:space="preserve"> </w:t>
      </w:r>
      <w:r w:rsidRPr="005354E4">
        <w:rPr>
          <w:rFonts w:cstheme="minorHAnsi"/>
        </w:rPr>
        <w:t xml:space="preserve">règlementation, alors même que </w:t>
      </w:r>
      <w:r w:rsidR="00456F1D" w:rsidRPr="005354E4">
        <w:rPr>
          <w:rFonts w:cstheme="minorHAnsi"/>
        </w:rPr>
        <w:t xml:space="preserve">dans la plupart des cas </w:t>
      </w:r>
      <w:r w:rsidRPr="005354E4">
        <w:rPr>
          <w:rFonts w:cstheme="minorHAnsi"/>
        </w:rPr>
        <w:t xml:space="preserve">l’absence d’authentification forte est autorisée </w:t>
      </w:r>
      <w:r w:rsidR="00A47D97" w:rsidRPr="005354E4">
        <w:rPr>
          <w:rFonts w:cstheme="minorHAnsi"/>
        </w:rPr>
        <w:t>ou tolérée</w:t>
      </w:r>
      <w:r w:rsidRPr="005354E4">
        <w:rPr>
          <w:rFonts w:cstheme="minorHAnsi"/>
        </w:rPr>
        <w:t>.</w:t>
      </w:r>
    </w:p>
    <w:tbl>
      <w:tblPr>
        <w:tblW w:w="9229" w:type="dxa"/>
        <w:tblInd w:w="-15" w:type="dxa"/>
        <w:tblBorders>
          <w:top w:val="triple" w:sz="6" w:space="0" w:color="0070C0"/>
          <w:left w:val="triple" w:sz="6" w:space="0" w:color="0070C0"/>
          <w:bottom w:val="triple" w:sz="6" w:space="0" w:color="0070C0"/>
          <w:right w:val="triple" w:sz="6" w:space="0" w:color="0070C0"/>
        </w:tblBorders>
        <w:tblCellMar>
          <w:left w:w="70" w:type="dxa"/>
          <w:right w:w="70" w:type="dxa"/>
        </w:tblCellMar>
        <w:tblLook w:val="0000" w:firstRow="0" w:lastRow="0" w:firstColumn="0" w:lastColumn="0" w:noHBand="0" w:noVBand="0"/>
      </w:tblPr>
      <w:tblGrid>
        <w:gridCol w:w="9229"/>
      </w:tblGrid>
      <w:tr w:rsidR="00556D6C" w:rsidRPr="005354E4" w14:paraId="180D833B" w14:textId="77777777" w:rsidTr="005959E5">
        <w:trPr>
          <w:trHeight w:val="1620"/>
        </w:trPr>
        <w:tc>
          <w:tcPr>
            <w:tcW w:w="9229" w:type="dxa"/>
          </w:tcPr>
          <w:p w14:paraId="5FF1D0DC" w14:textId="77777777" w:rsidR="009F6B01" w:rsidRPr="005354E4" w:rsidRDefault="009F6B01" w:rsidP="00AD40DD">
            <w:pPr>
              <w:jc w:val="both"/>
              <w:rPr>
                <w:rFonts w:cstheme="minorHAnsi"/>
                <w:b/>
                <w:color w:val="000099"/>
              </w:rPr>
            </w:pPr>
            <w:r w:rsidRPr="005354E4">
              <w:rPr>
                <w:rFonts w:cstheme="minorHAnsi"/>
                <w:b/>
                <w:color w:val="000099"/>
              </w:rPr>
              <w:t xml:space="preserve">Recommandation </w:t>
            </w:r>
            <w:r w:rsidR="00BE75B4" w:rsidRPr="005354E4">
              <w:rPr>
                <w:rFonts w:cstheme="minorHAnsi"/>
                <w:b/>
                <w:color w:val="000099"/>
              </w:rPr>
              <w:t>n°</w:t>
            </w:r>
            <w:r w:rsidR="00A95CC6" w:rsidRPr="005354E4">
              <w:rPr>
                <w:rFonts w:cstheme="minorHAnsi"/>
                <w:b/>
                <w:color w:val="000099"/>
              </w:rPr>
              <w:t> </w:t>
            </w:r>
            <w:r w:rsidR="009171EA" w:rsidRPr="005354E4">
              <w:rPr>
                <w:rFonts w:cstheme="minorHAnsi"/>
                <w:b/>
                <w:color w:val="000099"/>
              </w:rPr>
              <w:t>4</w:t>
            </w:r>
            <w:r w:rsidRPr="005354E4">
              <w:rPr>
                <w:rFonts w:cstheme="minorHAnsi"/>
                <w:b/>
                <w:color w:val="000099"/>
              </w:rPr>
              <w:t> :</w:t>
            </w:r>
            <w:r w:rsidR="00114D74" w:rsidRPr="005354E4">
              <w:rPr>
                <w:rFonts w:cstheme="minorHAnsi"/>
                <w:b/>
                <w:color w:val="000099"/>
              </w:rPr>
              <w:t xml:space="preserve"> </w:t>
            </w:r>
            <w:r w:rsidR="008A2E3C" w:rsidRPr="005354E4">
              <w:rPr>
                <w:rFonts w:cstheme="minorHAnsi"/>
                <w:b/>
                <w:color w:val="000099"/>
              </w:rPr>
              <w:t>p</w:t>
            </w:r>
            <w:r w:rsidR="00114D74" w:rsidRPr="005354E4">
              <w:rPr>
                <w:rFonts w:cstheme="minorHAnsi"/>
                <w:b/>
                <w:color w:val="000099"/>
              </w:rPr>
              <w:t>rincipes applicables aux opérations sans authentification forte</w:t>
            </w:r>
          </w:p>
          <w:p w14:paraId="5AE68041" w14:textId="77777777" w:rsidR="00B012BD" w:rsidRPr="005354E4" w:rsidRDefault="00FD2039" w:rsidP="00AD40DD">
            <w:pPr>
              <w:jc w:val="both"/>
              <w:rPr>
                <w:rFonts w:cstheme="minorHAnsi"/>
                <w:b/>
              </w:rPr>
            </w:pPr>
            <w:r w:rsidRPr="005354E4">
              <w:rPr>
                <w:rFonts w:cstheme="minorHAnsi"/>
                <w:b/>
              </w:rPr>
              <w:t xml:space="preserve">Lorsqu’un </w:t>
            </w:r>
            <w:r w:rsidR="00862D9B" w:rsidRPr="005354E4">
              <w:rPr>
                <w:rFonts w:cstheme="minorHAnsi"/>
                <w:b/>
              </w:rPr>
              <w:t>utilisateur</w:t>
            </w:r>
            <w:r w:rsidR="00F7373C" w:rsidRPr="005354E4">
              <w:rPr>
                <w:rFonts w:cstheme="minorHAnsi"/>
                <w:b/>
              </w:rPr>
              <w:t xml:space="preserve"> du service de paiement</w:t>
            </w:r>
            <w:r w:rsidR="00862D9B" w:rsidRPr="005354E4">
              <w:rPr>
                <w:rFonts w:cstheme="minorHAnsi"/>
                <w:b/>
              </w:rPr>
              <w:t xml:space="preserve"> </w:t>
            </w:r>
            <w:r w:rsidRPr="005354E4">
              <w:rPr>
                <w:rFonts w:cstheme="minorHAnsi"/>
                <w:b/>
              </w:rPr>
              <w:t>conteste une ou plusieurs opérations qu’il nie avoir autorisées et que ces opérations n’ont pas été authentifiées de manière forte</w:t>
            </w:r>
            <w:r w:rsidR="00B012BD" w:rsidRPr="005354E4">
              <w:rPr>
                <w:rFonts w:cstheme="minorHAnsi"/>
                <w:b/>
              </w:rPr>
              <w:t xml:space="preserve">, le </w:t>
            </w:r>
            <w:r w:rsidR="00A227BF" w:rsidRPr="005354E4">
              <w:rPr>
                <w:rFonts w:cstheme="minorHAnsi"/>
                <w:b/>
              </w:rPr>
              <w:t xml:space="preserve">prestataire de services de paiement du payeur rembourse </w:t>
            </w:r>
            <w:r w:rsidR="00706368" w:rsidRPr="005354E4">
              <w:rPr>
                <w:rFonts w:cstheme="minorHAnsi"/>
                <w:b/>
              </w:rPr>
              <w:t>sans délai</w:t>
            </w:r>
            <w:r w:rsidR="00A24753" w:rsidRPr="005354E4">
              <w:rPr>
                <w:rStyle w:val="Appelnotedebasdep"/>
                <w:rFonts w:cstheme="minorHAnsi"/>
                <w:b/>
              </w:rPr>
              <w:footnoteReference w:id="6"/>
            </w:r>
            <w:r w:rsidR="00A24753" w:rsidRPr="005354E4">
              <w:rPr>
                <w:rFonts w:cstheme="minorHAnsi"/>
                <w:b/>
              </w:rPr>
              <w:t xml:space="preserve"> </w:t>
            </w:r>
            <w:r w:rsidR="00A227BF" w:rsidRPr="005354E4">
              <w:rPr>
                <w:rFonts w:cstheme="minorHAnsi"/>
                <w:b/>
              </w:rPr>
              <w:t>le montant de ces opérations</w:t>
            </w:r>
            <w:r w:rsidR="00B012BD" w:rsidRPr="005354E4">
              <w:rPr>
                <w:rFonts w:cstheme="minorHAnsi"/>
                <w:b/>
              </w:rPr>
              <w:t>, sauf lorsqu</w:t>
            </w:r>
            <w:r w:rsidR="00471811" w:rsidRPr="005354E4">
              <w:rPr>
                <w:rFonts w:cstheme="minorHAnsi"/>
                <w:b/>
              </w:rPr>
              <w:t>’il</w:t>
            </w:r>
            <w:r w:rsidR="00B012BD" w:rsidRPr="005354E4">
              <w:rPr>
                <w:rFonts w:cstheme="minorHAnsi"/>
                <w:b/>
              </w:rPr>
              <w:t xml:space="preserve"> a de bonnes raisons de soupçonner une fraude </w:t>
            </w:r>
            <w:r w:rsidR="00862D9B" w:rsidRPr="003057DD">
              <w:rPr>
                <w:rFonts w:cstheme="minorHAnsi"/>
                <w:b/>
              </w:rPr>
              <w:t>de</w:t>
            </w:r>
            <w:r w:rsidR="00863B0E" w:rsidRPr="003057DD">
              <w:rPr>
                <w:rFonts w:cstheme="minorHAnsi"/>
                <w:b/>
              </w:rPr>
              <w:t xml:space="preserve"> </w:t>
            </w:r>
            <w:r w:rsidR="00862D9B" w:rsidRPr="003057DD">
              <w:rPr>
                <w:rFonts w:cstheme="minorHAnsi"/>
                <w:b/>
              </w:rPr>
              <w:t>l’utilisateur</w:t>
            </w:r>
            <w:r w:rsidR="00B012BD" w:rsidRPr="005354E4">
              <w:rPr>
                <w:rFonts w:cstheme="minorHAnsi"/>
                <w:b/>
              </w:rPr>
              <w:t xml:space="preserve"> lui-même. Ce soupçon de fraude ne peut résulter de la seule utilisation de l’instrument de paiement.</w:t>
            </w:r>
          </w:p>
          <w:p w14:paraId="57D332E0" w14:textId="77777777" w:rsidR="00B012BD" w:rsidRPr="005354E4" w:rsidRDefault="00B012BD" w:rsidP="00AD40DD">
            <w:pPr>
              <w:jc w:val="both"/>
              <w:rPr>
                <w:rFonts w:cstheme="minorHAnsi"/>
                <w:b/>
              </w:rPr>
            </w:pPr>
            <w:r w:rsidRPr="005354E4">
              <w:rPr>
                <w:rFonts w:cstheme="minorHAnsi"/>
                <w:b/>
              </w:rPr>
              <w:t xml:space="preserve">Ce remboursement immédiat ne fait pas obstacle à la reprise </w:t>
            </w:r>
            <w:r w:rsidR="001A7D01" w:rsidRPr="005354E4">
              <w:rPr>
                <w:rFonts w:cstheme="minorHAnsi"/>
                <w:b/>
              </w:rPr>
              <w:t xml:space="preserve">ultérieure </w:t>
            </w:r>
            <w:r w:rsidRPr="005354E4">
              <w:rPr>
                <w:rFonts w:cstheme="minorHAnsi"/>
                <w:b/>
              </w:rPr>
              <w:t xml:space="preserve">des fonds lorsque le prestataire de services de paiement réunit des éléments prouvant soit que l’opération a été autorisée (par exemple, </w:t>
            </w:r>
            <w:r w:rsidR="00766595" w:rsidRPr="005354E4">
              <w:rPr>
                <w:rFonts w:cstheme="minorHAnsi"/>
                <w:b/>
              </w:rPr>
              <w:t>par l’existence d’</w:t>
            </w:r>
            <w:r w:rsidRPr="005354E4">
              <w:rPr>
                <w:rFonts w:cstheme="minorHAnsi"/>
                <w:b/>
              </w:rPr>
              <w:t>un mandat de prélèvement SEPA</w:t>
            </w:r>
            <w:r w:rsidRPr="005354E4">
              <w:rPr>
                <w:rStyle w:val="Appelnotedebasdep"/>
                <w:rFonts w:cstheme="minorHAnsi"/>
                <w:b/>
              </w:rPr>
              <w:footnoteReference w:id="7"/>
            </w:r>
            <w:r w:rsidRPr="005354E4">
              <w:rPr>
                <w:rFonts w:cstheme="minorHAnsi"/>
                <w:b/>
              </w:rPr>
              <w:t xml:space="preserve">), soit qu’une fraude a été commise par </w:t>
            </w:r>
            <w:r w:rsidR="00862D9B" w:rsidRPr="003057DD">
              <w:rPr>
                <w:rFonts w:cstheme="minorHAnsi"/>
                <w:b/>
              </w:rPr>
              <w:t>l’utilisateur</w:t>
            </w:r>
            <w:r w:rsidRPr="003057DD">
              <w:rPr>
                <w:rFonts w:cstheme="minorHAnsi"/>
                <w:b/>
              </w:rPr>
              <w:t xml:space="preserve"> lui-même. En revanche, la négligence, même grave, commise par le payeur ne peut fonder le refus de remboursement d’une opération</w:t>
            </w:r>
            <w:r w:rsidR="001A7D01" w:rsidRPr="005354E4">
              <w:rPr>
                <w:rFonts w:cstheme="minorHAnsi"/>
                <w:b/>
              </w:rPr>
              <w:t xml:space="preserve"> qui n’a pas été authentifiée de manière forte</w:t>
            </w:r>
            <w:r w:rsidRPr="005354E4">
              <w:rPr>
                <w:rFonts w:cstheme="minorHAnsi"/>
                <w:b/>
              </w:rPr>
              <w:t>.</w:t>
            </w:r>
          </w:p>
          <w:p w14:paraId="5C539F7A" w14:textId="77777777" w:rsidR="00CA7C5F" w:rsidRPr="005354E4" w:rsidRDefault="00F33CF9" w:rsidP="00373761">
            <w:pPr>
              <w:jc w:val="both"/>
              <w:rPr>
                <w:b/>
              </w:rPr>
            </w:pPr>
            <w:r w:rsidRPr="005354E4">
              <w:rPr>
                <w:b/>
              </w:rPr>
              <w:t>Dans le cas particulier des paiements initiés par le bénéficiaire</w:t>
            </w:r>
            <w:r w:rsidR="00A809D4" w:rsidRPr="005354E4">
              <w:rPr>
                <w:b/>
              </w:rPr>
              <w:t xml:space="preserve"> (prélèvement ou paiement par carte de type MIT</w:t>
            </w:r>
            <w:r w:rsidR="00946FDE" w:rsidRPr="005354E4">
              <w:rPr>
                <w:b/>
              </w:rPr>
              <w:t xml:space="preserve"> - </w:t>
            </w:r>
            <w:r w:rsidR="00946FDE" w:rsidRPr="005354E4">
              <w:rPr>
                <w:b/>
                <w:i/>
              </w:rPr>
              <w:t>Merchant Initiated Transaction</w:t>
            </w:r>
            <w:r w:rsidR="00A809D4" w:rsidRPr="005354E4">
              <w:rPr>
                <w:b/>
              </w:rPr>
              <w:t>),</w:t>
            </w:r>
            <w:r w:rsidRPr="005354E4">
              <w:rPr>
                <w:b/>
              </w:rPr>
              <w:t xml:space="preserve"> </w:t>
            </w:r>
            <w:r w:rsidR="00A809D4" w:rsidRPr="005354E4">
              <w:rPr>
                <w:b/>
              </w:rPr>
              <w:t xml:space="preserve">le payeur bénéficie </w:t>
            </w:r>
            <w:r w:rsidR="00CA7C5F" w:rsidRPr="005354E4">
              <w:rPr>
                <w:b/>
              </w:rPr>
              <w:t xml:space="preserve">en outre </w:t>
            </w:r>
            <w:r w:rsidR="00A809D4" w:rsidRPr="005354E4">
              <w:rPr>
                <w:b/>
              </w:rPr>
              <w:t>d’</w:t>
            </w:r>
            <w:r w:rsidRPr="005354E4">
              <w:rPr>
                <w:b/>
              </w:rPr>
              <w:t>un droit à remboursement immédiat</w:t>
            </w:r>
            <w:r w:rsidR="00E23955" w:rsidRPr="005354E4">
              <w:rPr>
                <w:b/>
              </w:rPr>
              <w:t xml:space="preserve"> dans un délai de 8 semaines</w:t>
            </w:r>
            <w:r w:rsidR="00803569" w:rsidRPr="005354E4">
              <w:rPr>
                <w:b/>
              </w:rPr>
              <w:t xml:space="preserve"> qui suit le débit en compte</w:t>
            </w:r>
            <w:r w:rsidR="00CA7C5F" w:rsidRPr="005354E4">
              <w:rPr>
                <w:b/>
              </w:rPr>
              <w:t> :</w:t>
            </w:r>
          </w:p>
          <w:p w14:paraId="0F19FEF0" w14:textId="77777777" w:rsidR="00CA7C5F" w:rsidRPr="005354E4" w:rsidRDefault="00CB4482" w:rsidP="00DC4574">
            <w:pPr>
              <w:pStyle w:val="Paragraphedeliste"/>
              <w:numPr>
                <w:ilvl w:val="0"/>
                <w:numId w:val="48"/>
              </w:numPr>
              <w:jc w:val="both"/>
              <w:rPr>
                <w:b/>
              </w:rPr>
            </w:pPr>
            <w:r w:rsidRPr="005354E4">
              <w:rPr>
                <w:b/>
              </w:rPr>
              <w:t xml:space="preserve">pour </w:t>
            </w:r>
            <w:r w:rsidR="00DB7CDA" w:rsidRPr="005354E4">
              <w:rPr>
                <w:b/>
              </w:rPr>
              <w:t>le prélèvement, ce remboursement</w:t>
            </w:r>
            <w:r w:rsidR="00F33CF9" w:rsidRPr="005354E4">
              <w:rPr>
                <w:b/>
              </w:rPr>
              <w:t xml:space="preserve"> e</w:t>
            </w:r>
            <w:r w:rsidR="00DB7CDA" w:rsidRPr="005354E4">
              <w:rPr>
                <w:b/>
              </w:rPr>
              <w:t>s</w:t>
            </w:r>
            <w:r w:rsidR="00F33CF9" w:rsidRPr="005354E4">
              <w:rPr>
                <w:b/>
              </w:rPr>
              <w:t>t sans</w:t>
            </w:r>
            <w:r w:rsidR="00DB7CDA" w:rsidRPr="005354E4">
              <w:rPr>
                <w:b/>
              </w:rPr>
              <w:t xml:space="preserve"> condition</w:t>
            </w:r>
            <w:r w:rsidR="00766595" w:rsidRPr="005354E4">
              <w:rPr>
                <w:b/>
              </w:rPr>
              <w:t xml:space="preserve">, indépendamment de l’existence </w:t>
            </w:r>
            <w:r w:rsidR="00A809D4" w:rsidRPr="005354E4">
              <w:rPr>
                <w:b/>
              </w:rPr>
              <w:t xml:space="preserve">ou non </w:t>
            </w:r>
            <w:r w:rsidR="00766595" w:rsidRPr="005354E4">
              <w:rPr>
                <w:b/>
              </w:rPr>
              <w:t>d’un mandat</w:t>
            </w:r>
            <w:r w:rsidR="00A809D4" w:rsidRPr="005354E4">
              <w:rPr>
                <w:b/>
              </w:rPr>
              <w:t xml:space="preserve"> de </w:t>
            </w:r>
            <w:r w:rsidR="005020B3" w:rsidRPr="005354E4">
              <w:rPr>
                <w:b/>
              </w:rPr>
              <w:t>prélèvement</w:t>
            </w:r>
            <w:r w:rsidRPr="005354E4">
              <w:rPr>
                <w:b/>
              </w:rPr>
              <w:t> ;</w:t>
            </w:r>
          </w:p>
          <w:p w14:paraId="7355FB13" w14:textId="77777777" w:rsidR="00F33CF9" w:rsidRPr="005354E4" w:rsidRDefault="00CB4482" w:rsidP="00DC4574">
            <w:pPr>
              <w:pStyle w:val="Paragraphedeliste"/>
              <w:numPr>
                <w:ilvl w:val="0"/>
                <w:numId w:val="48"/>
              </w:numPr>
              <w:jc w:val="both"/>
              <w:rPr>
                <w:b/>
              </w:rPr>
            </w:pPr>
            <w:r w:rsidRPr="005354E4">
              <w:rPr>
                <w:b/>
              </w:rPr>
              <w:t xml:space="preserve">pour </w:t>
            </w:r>
            <w:r w:rsidR="00DB7CDA" w:rsidRPr="005354E4">
              <w:rPr>
                <w:b/>
              </w:rPr>
              <w:t>le paiement par carte ordonné par le bénéficiaire, si l’autorisation donné</w:t>
            </w:r>
            <w:r w:rsidR="005959E5" w:rsidRPr="005354E4">
              <w:rPr>
                <w:b/>
              </w:rPr>
              <w:t>e</w:t>
            </w:r>
            <w:r w:rsidR="00DB7CDA" w:rsidRPr="005354E4">
              <w:rPr>
                <w:b/>
              </w:rPr>
              <w:t xml:space="preserve"> n’indiquait pas le montant exact de l’opération de paiement et si le montant de l’opération dépassait le montant auquel le payeur pouvait raisonnablement s’attendre en tenant compte du profil de ses dépenses passées</w:t>
            </w:r>
            <w:r w:rsidR="005959E5" w:rsidRPr="005354E4">
              <w:rPr>
                <w:b/>
              </w:rPr>
              <w:t>,</w:t>
            </w:r>
            <w:r w:rsidR="00DB7CDA" w:rsidRPr="005354E4">
              <w:rPr>
                <w:b/>
              </w:rPr>
              <w:t xml:space="preserve"> des conditions prévues par son contrat-cadre et des circonstances propres à l'opération.</w:t>
            </w:r>
          </w:p>
          <w:p w14:paraId="448E0974" w14:textId="77777777" w:rsidR="00097A36" w:rsidRPr="005354E4" w:rsidRDefault="00097A36">
            <w:pPr>
              <w:jc w:val="both"/>
              <w:rPr>
                <w:rFonts w:cstheme="minorHAnsi"/>
                <w:i/>
              </w:rPr>
            </w:pPr>
            <w:r w:rsidRPr="005354E4">
              <w:rPr>
                <w:rFonts w:cstheme="minorHAnsi"/>
                <w:i/>
                <w:color w:val="1F4E79" w:themeColor="accent1" w:themeShade="80"/>
                <w:u w:val="single"/>
              </w:rPr>
              <w:t>Référence</w:t>
            </w:r>
            <w:r w:rsidR="00F867F3" w:rsidRPr="005354E4">
              <w:rPr>
                <w:rFonts w:cstheme="minorHAnsi"/>
                <w:i/>
                <w:color w:val="1F4E79" w:themeColor="accent1" w:themeShade="80"/>
                <w:u w:val="single"/>
              </w:rPr>
              <w:t>s</w:t>
            </w:r>
            <w:r w:rsidR="00A95CC6" w:rsidRPr="005354E4">
              <w:rPr>
                <w:rFonts w:cstheme="minorHAnsi"/>
                <w:i/>
                <w:color w:val="1F4E79" w:themeColor="accent1" w:themeShade="80"/>
                <w:u w:val="single"/>
              </w:rPr>
              <w:t> </w:t>
            </w:r>
            <w:r w:rsidRPr="005354E4">
              <w:rPr>
                <w:rFonts w:cstheme="minorHAnsi"/>
                <w:i/>
                <w:color w:val="1F4E79" w:themeColor="accent1" w:themeShade="80"/>
              </w:rPr>
              <w:t xml:space="preserve">: </w:t>
            </w:r>
            <w:r w:rsidR="00761EB6" w:rsidRPr="005354E4">
              <w:rPr>
                <w:rFonts w:cstheme="minorHAnsi"/>
                <w:i/>
                <w:color w:val="1F4E79" w:themeColor="accent1" w:themeShade="80"/>
              </w:rPr>
              <w:t xml:space="preserve">articles </w:t>
            </w:r>
            <w:r w:rsidRPr="005354E4">
              <w:rPr>
                <w:rFonts w:cstheme="minorHAnsi"/>
                <w:i/>
                <w:color w:val="1F4E79" w:themeColor="accent1" w:themeShade="80"/>
              </w:rPr>
              <w:t>L133-19 V L133-18</w:t>
            </w:r>
            <w:r w:rsidR="00A95CC6" w:rsidRPr="005354E4">
              <w:rPr>
                <w:rFonts w:cstheme="minorHAnsi"/>
                <w:i/>
                <w:color w:val="1F4E79" w:themeColor="accent1" w:themeShade="80"/>
              </w:rPr>
              <w:t>,</w:t>
            </w:r>
            <w:r w:rsidRPr="005354E4">
              <w:rPr>
                <w:rFonts w:cstheme="minorHAnsi"/>
                <w:i/>
                <w:color w:val="1F4E79" w:themeColor="accent1" w:themeShade="80"/>
              </w:rPr>
              <w:t xml:space="preserve"> </w:t>
            </w:r>
            <w:r w:rsidR="00463808" w:rsidRPr="005354E4">
              <w:rPr>
                <w:rFonts w:cstheme="minorHAnsi"/>
                <w:i/>
                <w:color w:val="1F4E79" w:themeColor="accent1" w:themeShade="80"/>
              </w:rPr>
              <w:t xml:space="preserve">L133-25 </w:t>
            </w:r>
            <w:r w:rsidR="00B26554" w:rsidRPr="005354E4">
              <w:rPr>
                <w:rFonts w:cstheme="minorHAnsi"/>
                <w:i/>
                <w:color w:val="1F4E79" w:themeColor="accent1" w:themeShade="80"/>
              </w:rPr>
              <w:t xml:space="preserve">et L133-25-1 </w:t>
            </w:r>
            <w:r w:rsidRPr="005354E4">
              <w:rPr>
                <w:rFonts w:cstheme="minorHAnsi"/>
                <w:i/>
                <w:color w:val="1F4E79" w:themeColor="accent1" w:themeShade="80"/>
              </w:rPr>
              <w:t>du CMF</w:t>
            </w:r>
            <w:r w:rsidR="00463808" w:rsidRPr="005354E4">
              <w:rPr>
                <w:rFonts w:cstheme="minorHAnsi"/>
                <w:i/>
                <w:color w:val="1F4E79" w:themeColor="accent1" w:themeShade="80"/>
              </w:rPr>
              <w:t xml:space="preserve"> et SEPA Direct Debit Core Scheme Rulebook V1.1 section 4.3.4</w:t>
            </w:r>
          </w:p>
        </w:tc>
      </w:tr>
    </w:tbl>
    <w:p w14:paraId="59702AF9" w14:textId="77777777" w:rsidR="006B5EF7" w:rsidRPr="005354E4" w:rsidRDefault="006B5EF7" w:rsidP="00952085">
      <w:pPr>
        <w:spacing w:after="0"/>
        <w:jc w:val="both"/>
        <w:rPr>
          <w:rFonts w:cstheme="minorHAnsi"/>
        </w:rPr>
      </w:pPr>
    </w:p>
    <w:p w14:paraId="3F2D89AB" w14:textId="77777777" w:rsidR="00C76B2B" w:rsidRPr="005354E4" w:rsidRDefault="00C76B2B" w:rsidP="00C76B2B">
      <w:pPr>
        <w:jc w:val="both"/>
        <w:rPr>
          <w:rFonts w:cstheme="minorHAnsi"/>
        </w:rPr>
      </w:pPr>
      <w:r w:rsidRPr="005354E4">
        <w:rPr>
          <w:rFonts w:cstheme="minorHAnsi"/>
        </w:rPr>
        <w:t>Le pres</w:t>
      </w:r>
      <w:r w:rsidR="00FE58B5" w:rsidRPr="005354E4">
        <w:rPr>
          <w:rFonts w:cstheme="minorHAnsi"/>
        </w:rPr>
        <w:t>tataire de services de paiement</w:t>
      </w:r>
      <w:r w:rsidRPr="005354E4">
        <w:rPr>
          <w:rFonts w:cstheme="minorHAnsi"/>
        </w:rPr>
        <w:t xml:space="preserve"> doit être en mesure de justifier qu’une opération a été authentifiée, et doit à ce titre conserver les éléments techniques (piste d’audit) relatifs à cette authentification. Il en est de même pour la piste d’audit de l’authentification forte effectuée pour l’enrôlement d’un facteur d’authentification.</w:t>
      </w:r>
    </w:p>
    <w:p w14:paraId="51073E96" w14:textId="77777777" w:rsidR="00336C98" w:rsidRPr="005354E4" w:rsidRDefault="00BE75B4" w:rsidP="00373761">
      <w:pPr>
        <w:jc w:val="both"/>
        <w:rPr>
          <w:rFonts w:eastAsia="Cambria" w:cstheme="minorHAnsi"/>
          <w:b/>
        </w:rPr>
      </w:pPr>
      <w:r w:rsidRPr="005354E4">
        <w:rPr>
          <w:rFonts w:eastAsia="Cambria" w:cstheme="minorHAnsi"/>
          <w:b/>
        </w:rPr>
        <w:t xml:space="preserve">4.2 </w:t>
      </w:r>
      <w:r w:rsidR="00FE662A" w:rsidRPr="005354E4">
        <w:rPr>
          <w:rFonts w:eastAsia="Cambria" w:cstheme="minorHAnsi"/>
          <w:b/>
        </w:rPr>
        <w:t xml:space="preserve">Paiement au moyen d’une </w:t>
      </w:r>
      <w:r w:rsidR="00076C02" w:rsidRPr="005354E4">
        <w:rPr>
          <w:rFonts w:eastAsia="Cambria" w:cstheme="minorHAnsi"/>
          <w:b/>
        </w:rPr>
        <w:t xml:space="preserve">application </w:t>
      </w:r>
      <w:r w:rsidR="00FE662A" w:rsidRPr="005354E4">
        <w:rPr>
          <w:rFonts w:eastAsia="Cambria" w:cstheme="minorHAnsi"/>
          <w:b/>
        </w:rPr>
        <w:t>mobile</w:t>
      </w:r>
      <w:r w:rsidR="00076C02" w:rsidRPr="005354E4">
        <w:rPr>
          <w:rFonts w:eastAsia="Cambria" w:cstheme="minorHAnsi"/>
          <w:b/>
        </w:rPr>
        <w:t xml:space="preserve"> se substituant à l’instrument de paiement</w:t>
      </w:r>
    </w:p>
    <w:p w14:paraId="1DF8D5B0" w14:textId="77777777" w:rsidR="00DF6D4D" w:rsidRPr="005354E4" w:rsidRDefault="00F33CF9" w:rsidP="007074FC">
      <w:pPr>
        <w:jc w:val="both"/>
        <w:rPr>
          <w:rFonts w:cstheme="minorHAnsi"/>
        </w:rPr>
      </w:pPr>
      <w:r w:rsidRPr="005354E4">
        <w:rPr>
          <w:rFonts w:cstheme="minorHAnsi"/>
        </w:rPr>
        <w:t>Pour</w:t>
      </w:r>
      <w:r w:rsidR="00C23DFF" w:rsidRPr="005354E4">
        <w:rPr>
          <w:rFonts w:cstheme="minorHAnsi"/>
        </w:rPr>
        <w:t xml:space="preserve"> réalise</w:t>
      </w:r>
      <w:r w:rsidRPr="005354E4">
        <w:rPr>
          <w:rFonts w:cstheme="minorHAnsi"/>
        </w:rPr>
        <w:t>r</w:t>
      </w:r>
      <w:r w:rsidR="00C23DFF" w:rsidRPr="005354E4">
        <w:rPr>
          <w:rFonts w:cstheme="minorHAnsi"/>
        </w:rPr>
        <w:t xml:space="preserve"> des paiements via une solution mobile</w:t>
      </w:r>
      <w:r w:rsidRPr="005354E4">
        <w:rPr>
          <w:rFonts w:cstheme="minorHAnsi"/>
        </w:rPr>
        <w:t xml:space="preserve"> disposant de son propre mode d’authentification (ce qui est le cas notamment des solutions mobiles « X-Pay » proposées par les fabricants de terminaux et les éditeurs de systèmes d’exploitation)</w:t>
      </w:r>
      <w:r w:rsidR="00C23DFF" w:rsidRPr="005354E4">
        <w:rPr>
          <w:rFonts w:cstheme="minorHAnsi"/>
        </w:rPr>
        <w:t xml:space="preserve">, </w:t>
      </w:r>
      <w:r w:rsidRPr="005354E4">
        <w:rPr>
          <w:rFonts w:cstheme="minorHAnsi"/>
        </w:rPr>
        <w:t>l’utilisateur</w:t>
      </w:r>
      <w:r w:rsidR="00C23DFF" w:rsidRPr="005354E4">
        <w:rPr>
          <w:rFonts w:cstheme="minorHAnsi"/>
        </w:rPr>
        <w:t xml:space="preserve"> doit </w:t>
      </w:r>
      <w:r w:rsidRPr="005354E4">
        <w:rPr>
          <w:rFonts w:cstheme="minorHAnsi"/>
        </w:rPr>
        <w:t>préalablement</w:t>
      </w:r>
      <w:r w:rsidR="00C23DFF" w:rsidRPr="005354E4">
        <w:rPr>
          <w:rFonts w:cstheme="minorHAnsi"/>
        </w:rPr>
        <w:t xml:space="preserve"> enrôler son </w:t>
      </w:r>
      <w:r w:rsidRPr="005354E4">
        <w:rPr>
          <w:rFonts w:cstheme="minorHAnsi"/>
        </w:rPr>
        <w:t xml:space="preserve">instrument de paiement sur l’application de paiement de son </w:t>
      </w:r>
      <w:r w:rsidR="00C23DFF" w:rsidRPr="005354E4">
        <w:rPr>
          <w:rFonts w:cstheme="minorHAnsi"/>
        </w:rPr>
        <w:t>terminal mobile. Cet enrôlement</w:t>
      </w:r>
      <w:r w:rsidRPr="005354E4">
        <w:rPr>
          <w:rFonts w:cstheme="minorHAnsi"/>
        </w:rPr>
        <w:t>, considéré comme une opération sensible au sens de la réglementation,</w:t>
      </w:r>
      <w:r w:rsidR="00C23DFF" w:rsidRPr="005354E4">
        <w:rPr>
          <w:rFonts w:cstheme="minorHAnsi"/>
        </w:rPr>
        <w:t xml:space="preserve"> </w:t>
      </w:r>
      <w:r w:rsidRPr="005354E4">
        <w:rPr>
          <w:rFonts w:cstheme="minorHAnsi"/>
        </w:rPr>
        <w:t>nécessite</w:t>
      </w:r>
      <w:r w:rsidR="00C23DFF" w:rsidRPr="005354E4">
        <w:rPr>
          <w:rFonts w:cstheme="minorHAnsi"/>
        </w:rPr>
        <w:t xml:space="preserve"> une authentification forte de la part de l’utilisateur (ABE Q&amp;A 2021_614</w:t>
      </w:r>
      <w:r w:rsidR="005C0FDB" w:rsidRPr="005354E4">
        <w:rPr>
          <w:rFonts w:cstheme="minorHAnsi"/>
        </w:rPr>
        <w:t>1</w:t>
      </w:r>
      <w:r w:rsidR="00C23DFF" w:rsidRPr="005354E4">
        <w:rPr>
          <w:rFonts w:cstheme="minorHAnsi"/>
        </w:rPr>
        <w:t xml:space="preserve">). La responsabilité de la mise en œuvre de l’authentification forte repose sur le prestataire </w:t>
      </w:r>
      <w:r w:rsidR="00FC56BC" w:rsidRPr="005354E4">
        <w:rPr>
          <w:rFonts w:cstheme="minorHAnsi"/>
        </w:rPr>
        <w:t xml:space="preserve">de services </w:t>
      </w:r>
      <w:r w:rsidR="00C23DFF" w:rsidRPr="005354E4">
        <w:rPr>
          <w:rFonts w:cstheme="minorHAnsi"/>
        </w:rPr>
        <w:t>de paiement</w:t>
      </w:r>
      <w:r w:rsidR="00FC56BC" w:rsidRPr="005354E4">
        <w:rPr>
          <w:rFonts w:cstheme="minorHAnsi"/>
        </w:rPr>
        <w:t>, à qui il appartient de justifier du respect de cette obligation</w:t>
      </w:r>
      <w:r w:rsidR="00C23DFF" w:rsidRPr="005354E4">
        <w:rPr>
          <w:rFonts w:cstheme="minorHAnsi"/>
        </w:rPr>
        <w:t>.</w:t>
      </w:r>
    </w:p>
    <w:tbl>
      <w:tblPr>
        <w:tblStyle w:val="Grilledutableau"/>
        <w:tblW w:w="0" w:type="auto"/>
        <w:tblBorders>
          <w:top w:val="triple" w:sz="6" w:space="0" w:color="0070C0"/>
          <w:left w:val="triple" w:sz="6" w:space="0" w:color="0070C0"/>
          <w:bottom w:val="triple" w:sz="6" w:space="0" w:color="0070C0"/>
          <w:right w:val="triple" w:sz="6" w:space="0" w:color="0070C0"/>
          <w:insideH w:val="triple" w:sz="6" w:space="0" w:color="0070C0"/>
          <w:insideV w:val="triple" w:sz="6" w:space="0" w:color="0070C0"/>
        </w:tblBorders>
        <w:tblLook w:val="04A0" w:firstRow="1" w:lastRow="0" w:firstColumn="1" w:lastColumn="0" w:noHBand="0" w:noVBand="1"/>
      </w:tblPr>
      <w:tblGrid>
        <w:gridCol w:w="8994"/>
      </w:tblGrid>
      <w:tr w:rsidR="00397E39" w:rsidRPr="005354E4" w14:paraId="173D7AF0" w14:textId="77777777" w:rsidTr="00397E39">
        <w:tc>
          <w:tcPr>
            <w:tcW w:w="9062" w:type="dxa"/>
          </w:tcPr>
          <w:p w14:paraId="6E2A8891" w14:textId="77777777" w:rsidR="00FD5E08" w:rsidRPr="005354E4" w:rsidRDefault="009F6B01" w:rsidP="00397E39">
            <w:pPr>
              <w:ind w:left="10"/>
              <w:jc w:val="both"/>
              <w:rPr>
                <w:rFonts w:cstheme="minorHAnsi"/>
              </w:rPr>
            </w:pPr>
            <w:r w:rsidRPr="005354E4">
              <w:rPr>
                <w:rFonts w:cstheme="minorHAnsi"/>
                <w:b/>
                <w:color w:val="000099"/>
              </w:rPr>
              <w:t xml:space="preserve">Recommandation </w:t>
            </w:r>
            <w:r w:rsidR="00BE75B4" w:rsidRPr="005354E4">
              <w:rPr>
                <w:rFonts w:cstheme="minorHAnsi"/>
                <w:b/>
                <w:color w:val="000099"/>
              </w:rPr>
              <w:t>n°</w:t>
            </w:r>
            <w:r w:rsidR="00833A71" w:rsidRPr="005354E4">
              <w:rPr>
                <w:rFonts w:cstheme="minorHAnsi"/>
                <w:b/>
                <w:color w:val="000099"/>
              </w:rPr>
              <w:t> </w:t>
            </w:r>
            <w:r w:rsidR="009171EA" w:rsidRPr="005354E4">
              <w:rPr>
                <w:rFonts w:cstheme="minorHAnsi"/>
                <w:b/>
                <w:color w:val="000099"/>
              </w:rPr>
              <w:t>5</w:t>
            </w:r>
            <w:r w:rsidRPr="005354E4">
              <w:rPr>
                <w:rFonts w:cstheme="minorHAnsi"/>
                <w:b/>
                <w:color w:val="000099"/>
              </w:rPr>
              <w:t>:</w:t>
            </w:r>
            <w:r w:rsidR="00114D74" w:rsidRPr="005354E4">
              <w:rPr>
                <w:rFonts w:cstheme="minorHAnsi"/>
                <w:b/>
                <w:color w:val="000099"/>
              </w:rPr>
              <w:t xml:space="preserve"> </w:t>
            </w:r>
            <w:r w:rsidR="008A2E3C" w:rsidRPr="005354E4">
              <w:rPr>
                <w:rFonts w:cstheme="minorHAnsi"/>
                <w:b/>
                <w:color w:val="000099"/>
              </w:rPr>
              <w:t>p</w:t>
            </w:r>
            <w:r w:rsidR="00114D74" w:rsidRPr="005354E4">
              <w:rPr>
                <w:rFonts w:cstheme="minorHAnsi"/>
                <w:b/>
                <w:color w:val="000099"/>
              </w:rPr>
              <w:t xml:space="preserve">rincipes applicables aux opérations réalisées avec une </w:t>
            </w:r>
            <w:r w:rsidR="00076C02" w:rsidRPr="005354E4">
              <w:rPr>
                <w:rFonts w:cstheme="minorHAnsi"/>
                <w:b/>
                <w:color w:val="000099"/>
              </w:rPr>
              <w:t xml:space="preserve">application </w:t>
            </w:r>
            <w:r w:rsidR="00114D74" w:rsidRPr="005354E4">
              <w:rPr>
                <w:rFonts w:cstheme="minorHAnsi"/>
                <w:b/>
                <w:color w:val="000099"/>
              </w:rPr>
              <w:t>mobile</w:t>
            </w:r>
            <w:r w:rsidR="00076C02" w:rsidRPr="005354E4">
              <w:rPr>
                <w:rFonts w:cstheme="minorHAnsi"/>
                <w:b/>
                <w:color w:val="000099"/>
              </w:rPr>
              <w:t xml:space="preserve"> se substituant à l’instrument de paiement</w:t>
            </w:r>
          </w:p>
          <w:p w14:paraId="70C61563" w14:textId="77777777" w:rsidR="009F6B01" w:rsidRPr="005354E4" w:rsidRDefault="009F6B01" w:rsidP="00397E39">
            <w:pPr>
              <w:ind w:left="10"/>
              <w:jc w:val="both"/>
              <w:rPr>
                <w:rFonts w:cstheme="minorHAnsi"/>
              </w:rPr>
            </w:pPr>
          </w:p>
          <w:p w14:paraId="7A2F7AC3" w14:textId="77777777" w:rsidR="00397E39" w:rsidRPr="005354E4" w:rsidRDefault="00A227BF" w:rsidP="00FD3D0B">
            <w:pPr>
              <w:ind w:left="10"/>
              <w:jc w:val="both"/>
              <w:rPr>
                <w:rFonts w:cstheme="minorHAnsi"/>
                <w:b/>
              </w:rPr>
            </w:pPr>
            <w:r w:rsidRPr="005354E4">
              <w:rPr>
                <w:rFonts w:cstheme="minorHAnsi"/>
                <w:b/>
              </w:rPr>
              <w:t xml:space="preserve">Lorsque </w:t>
            </w:r>
            <w:r w:rsidR="00862D9B" w:rsidRPr="005354E4">
              <w:rPr>
                <w:rFonts w:cstheme="minorHAnsi"/>
                <w:b/>
              </w:rPr>
              <w:t>l’utilisateur</w:t>
            </w:r>
            <w:r w:rsidR="00F7373C" w:rsidRPr="005354E4">
              <w:rPr>
                <w:rFonts w:cstheme="minorHAnsi"/>
                <w:b/>
              </w:rPr>
              <w:t xml:space="preserve"> du service de paiement</w:t>
            </w:r>
            <w:r w:rsidRPr="005354E4">
              <w:rPr>
                <w:rFonts w:cstheme="minorHAnsi"/>
                <w:b/>
              </w:rPr>
              <w:t xml:space="preserve"> conteste une </w:t>
            </w:r>
            <w:r w:rsidR="00FD3D0B" w:rsidRPr="005354E4">
              <w:rPr>
                <w:rFonts w:cstheme="minorHAnsi"/>
                <w:b/>
              </w:rPr>
              <w:t>opération</w:t>
            </w:r>
            <w:r w:rsidRPr="005354E4">
              <w:rPr>
                <w:rFonts w:cstheme="minorHAnsi"/>
                <w:b/>
              </w:rPr>
              <w:t xml:space="preserve"> de paiement</w:t>
            </w:r>
            <w:r w:rsidR="00FE58B5" w:rsidRPr="005354E4">
              <w:rPr>
                <w:rFonts w:cstheme="minorHAnsi"/>
                <w:b/>
              </w:rPr>
              <w:t xml:space="preserve"> qu’il nie avoir autorisée et qui a été</w:t>
            </w:r>
            <w:r w:rsidR="00FD3D0B" w:rsidRPr="005354E4">
              <w:rPr>
                <w:rFonts w:cstheme="minorHAnsi"/>
                <w:b/>
              </w:rPr>
              <w:t xml:space="preserve"> réalisée au moyen d’une solution mobile </w:t>
            </w:r>
            <w:r w:rsidR="00F33CF9" w:rsidRPr="005354E4">
              <w:rPr>
                <w:rFonts w:cstheme="minorHAnsi"/>
                <w:b/>
              </w:rPr>
              <w:t xml:space="preserve">pour laquelle l’enrôlement de l’instrument de paiement </w:t>
            </w:r>
            <w:r w:rsidR="00FD3D0B" w:rsidRPr="005354E4">
              <w:rPr>
                <w:rFonts w:cstheme="minorHAnsi"/>
                <w:b/>
              </w:rPr>
              <w:t xml:space="preserve">n’a pas </w:t>
            </w:r>
            <w:r w:rsidR="0075033E" w:rsidRPr="005354E4">
              <w:rPr>
                <w:rFonts w:cstheme="minorHAnsi"/>
                <w:b/>
              </w:rPr>
              <w:t xml:space="preserve">donné lieu à </w:t>
            </w:r>
            <w:r w:rsidR="00FD3D0B" w:rsidRPr="005354E4">
              <w:rPr>
                <w:rFonts w:cstheme="minorHAnsi"/>
                <w:b/>
              </w:rPr>
              <w:t>authentification forte</w:t>
            </w:r>
            <w:r w:rsidRPr="005354E4">
              <w:rPr>
                <w:rFonts w:cstheme="minorHAnsi"/>
                <w:b/>
              </w:rPr>
              <w:t>, le prestataire de services de paiement du payeur procède sans délai</w:t>
            </w:r>
            <w:r w:rsidR="00A162DE" w:rsidRPr="005354E4">
              <w:rPr>
                <w:rStyle w:val="Appelnotedebasdep"/>
                <w:rFonts w:cstheme="minorHAnsi"/>
                <w:b/>
              </w:rPr>
              <w:footnoteReference w:id="8"/>
            </w:r>
            <w:r w:rsidRPr="005354E4">
              <w:rPr>
                <w:rFonts w:cstheme="minorHAnsi"/>
                <w:b/>
              </w:rPr>
              <w:t xml:space="preserve"> au remboursement du montant de cette opération. </w:t>
            </w:r>
          </w:p>
          <w:p w14:paraId="0A85782A" w14:textId="77777777" w:rsidR="00567A7A" w:rsidRPr="003057DD" w:rsidRDefault="00567A7A" w:rsidP="00FD3D0B">
            <w:pPr>
              <w:ind w:left="10"/>
              <w:jc w:val="both"/>
              <w:rPr>
                <w:rFonts w:cstheme="minorHAnsi"/>
                <w:color w:val="1F4E79" w:themeColor="accent1" w:themeShade="80"/>
              </w:rPr>
            </w:pPr>
          </w:p>
          <w:p w14:paraId="3D5F9755" w14:textId="77777777" w:rsidR="00397E39" w:rsidRPr="005354E4" w:rsidRDefault="00567A7A" w:rsidP="00CB4482">
            <w:pPr>
              <w:ind w:left="10"/>
              <w:jc w:val="both"/>
              <w:rPr>
                <w:rFonts w:cstheme="minorHAnsi"/>
                <w:color w:val="1F4E79" w:themeColor="accent1" w:themeShade="80"/>
              </w:rPr>
            </w:pPr>
            <w:r w:rsidRPr="003057DD">
              <w:rPr>
                <w:rFonts w:cstheme="minorHAnsi"/>
                <w:i/>
                <w:color w:val="1F4E79" w:themeColor="accent1" w:themeShade="80"/>
                <w:u w:val="single"/>
              </w:rPr>
              <w:t>Références</w:t>
            </w:r>
            <w:r w:rsidR="00833A71" w:rsidRPr="005354E4">
              <w:rPr>
                <w:rFonts w:cstheme="minorHAnsi"/>
                <w:i/>
                <w:color w:val="1F4E79" w:themeColor="accent1" w:themeShade="80"/>
                <w:u w:val="single"/>
              </w:rPr>
              <w:t> </w:t>
            </w:r>
            <w:r w:rsidRPr="005354E4">
              <w:rPr>
                <w:rFonts w:cstheme="minorHAnsi"/>
                <w:i/>
                <w:color w:val="1F4E79" w:themeColor="accent1" w:themeShade="80"/>
              </w:rPr>
              <w:t xml:space="preserve">: </w:t>
            </w:r>
            <w:r w:rsidR="00A227BF" w:rsidRPr="005354E4">
              <w:rPr>
                <w:rFonts w:cstheme="minorHAnsi"/>
                <w:i/>
                <w:color w:val="1F4E79" w:themeColor="accent1" w:themeShade="80"/>
              </w:rPr>
              <w:t xml:space="preserve">article </w:t>
            </w:r>
            <w:r w:rsidRPr="005354E4">
              <w:rPr>
                <w:rFonts w:cstheme="minorHAnsi"/>
                <w:i/>
                <w:color w:val="1F4E79" w:themeColor="accent1" w:themeShade="80"/>
              </w:rPr>
              <w:t>L133-18 du CMF</w:t>
            </w:r>
            <w:r w:rsidR="00CB4482" w:rsidRPr="005354E4">
              <w:rPr>
                <w:rFonts w:cstheme="minorHAnsi"/>
                <w:i/>
                <w:color w:val="1F4E79" w:themeColor="accent1" w:themeShade="80"/>
              </w:rPr>
              <w:t xml:space="preserve"> et ABE Q&amp;A 2021_6141</w:t>
            </w:r>
          </w:p>
        </w:tc>
      </w:tr>
    </w:tbl>
    <w:p w14:paraId="2CA2019C" w14:textId="77777777" w:rsidR="00836E20" w:rsidRPr="005354E4" w:rsidRDefault="00836E20" w:rsidP="00373761">
      <w:pPr>
        <w:jc w:val="both"/>
        <w:rPr>
          <w:rFonts w:eastAsia="Cambria" w:cstheme="minorHAnsi"/>
          <w:b/>
        </w:rPr>
      </w:pPr>
    </w:p>
    <w:p w14:paraId="5E248EE5" w14:textId="77777777" w:rsidR="007074FC" w:rsidRPr="005354E4" w:rsidRDefault="00BE75B4" w:rsidP="00373761">
      <w:pPr>
        <w:jc w:val="both"/>
        <w:rPr>
          <w:rFonts w:eastAsia="Cambria" w:cstheme="minorHAnsi"/>
          <w:b/>
        </w:rPr>
      </w:pPr>
      <w:r w:rsidRPr="005354E4">
        <w:rPr>
          <w:rFonts w:eastAsia="Cambria" w:cstheme="minorHAnsi"/>
          <w:b/>
        </w:rPr>
        <w:t xml:space="preserve">4.3 </w:t>
      </w:r>
      <w:r w:rsidR="007074FC" w:rsidRPr="005354E4">
        <w:rPr>
          <w:rFonts w:eastAsia="Cambria" w:cstheme="minorHAnsi"/>
          <w:b/>
        </w:rPr>
        <w:t>Paiement ayant fait l’objet d’une authentification forte</w:t>
      </w:r>
    </w:p>
    <w:p w14:paraId="3B8ABD22" w14:textId="77777777" w:rsidR="00707F8D" w:rsidRPr="005354E4" w:rsidRDefault="00707F8D" w:rsidP="007074FC">
      <w:pPr>
        <w:jc w:val="both"/>
        <w:rPr>
          <w:rFonts w:cstheme="minorHAnsi"/>
        </w:rPr>
      </w:pPr>
      <w:r w:rsidRPr="005354E4">
        <w:rPr>
          <w:rFonts w:cstheme="minorHAnsi"/>
        </w:rPr>
        <w:t xml:space="preserve">Comme </w:t>
      </w:r>
      <w:r w:rsidR="00F33CF9" w:rsidRPr="005354E4">
        <w:rPr>
          <w:rFonts w:cstheme="minorHAnsi"/>
        </w:rPr>
        <w:t>mentionné précédemment</w:t>
      </w:r>
      <w:r w:rsidRPr="005354E4">
        <w:rPr>
          <w:rFonts w:cstheme="minorHAnsi"/>
        </w:rPr>
        <w:t xml:space="preserve">, l’essentiel de la </w:t>
      </w:r>
      <w:r w:rsidR="00CB4482" w:rsidRPr="005354E4">
        <w:rPr>
          <w:rFonts w:cstheme="minorHAnsi"/>
        </w:rPr>
        <w:t>« </w:t>
      </w:r>
      <w:r w:rsidRPr="005354E4">
        <w:rPr>
          <w:rFonts w:cstheme="minorHAnsi"/>
        </w:rPr>
        <w:t xml:space="preserve">zone grise » </w:t>
      </w:r>
      <w:r w:rsidR="00CB4482" w:rsidRPr="005354E4">
        <w:rPr>
          <w:rFonts w:cstheme="minorHAnsi"/>
        </w:rPr>
        <w:t>concerne</w:t>
      </w:r>
      <w:r w:rsidRPr="005354E4">
        <w:rPr>
          <w:rFonts w:cstheme="minorHAnsi"/>
        </w:rPr>
        <w:t xml:space="preserve"> les opérations contestées ayant </w:t>
      </w:r>
      <w:r w:rsidR="00CB4482" w:rsidRPr="005354E4">
        <w:rPr>
          <w:rFonts w:cstheme="minorHAnsi"/>
        </w:rPr>
        <w:t xml:space="preserve">donné lieu à </w:t>
      </w:r>
      <w:r w:rsidRPr="005354E4">
        <w:rPr>
          <w:rFonts w:cstheme="minorHAnsi"/>
        </w:rPr>
        <w:t xml:space="preserve">une authentification forte. </w:t>
      </w:r>
      <w:r w:rsidR="009F6B01" w:rsidRPr="005354E4">
        <w:rPr>
          <w:rFonts w:cstheme="minorHAnsi"/>
        </w:rPr>
        <w:t>L</w:t>
      </w:r>
      <w:r w:rsidR="00095304" w:rsidRPr="005354E4">
        <w:rPr>
          <w:rFonts w:cstheme="minorHAnsi"/>
        </w:rPr>
        <w:t xml:space="preserve">e processus d’investigation des prestataires de </w:t>
      </w:r>
      <w:r w:rsidR="00CB4482" w:rsidRPr="005354E4">
        <w:rPr>
          <w:rFonts w:cstheme="minorHAnsi"/>
        </w:rPr>
        <w:t xml:space="preserve">services de </w:t>
      </w:r>
      <w:r w:rsidR="00095304" w:rsidRPr="005354E4">
        <w:rPr>
          <w:rFonts w:cstheme="minorHAnsi"/>
        </w:rPr>
        <w:t xml:space="preserve">paiement </w:t>
      </w:r>
      <w:r w:rsidR="009F6B01" w:rsidRPr="005354E4">
        <w:rPr>
          <w:rFonts w:cstheme="minorHAnsi"/>
        </w:rPr>
        <w:t xml:space="preserve">doit s’attacher à examiner les </w:t>
      </w:r>
      <w:r w:rsidR="00095304" w:rsidRPr="005354E4">
        <w:rPr>
          <w:rFonts w:cstheme="minorHAnsi"/>
        </w:rPr>
        <w:t>éléments et paramètres susceptible d’altérer l’authentification forte de l’utilisateur</w:t>
      </w:r>
      <w:r w:rsidR="009F6B01" w:rsidRPr="005354E4">
        <w:rPr>
          <w:rFonts w:cstheme="minorHAnsi"/>
        </w:rPr>
        <w:t>.</w:t>
      </w:r>
    </w:p>
    <w:p w14:paraId="5486A84D" w14:textId="77777777" w:rsidR="007074FC" w:rsidRPr="005354E4" w:rsidRDefault="00304B45" w:rsidP="007074FC">
      <w:pPr>
        <w:jc w:val="both"/>
        <w:rPr>
          <w:rFonts w:eastAsia="Cambria" w:cstheme="minorHAnsi"/>
        </w:rPr>
      </w:pPr>
      <w:r w:rsidRPr="005354E4">
        <w:rPr>
          <w:rFonts w:eastAsia="Cambria" w:cstheme="minorHAnsi"/>
        </w:rPr>
        <w:t xml:space="preserve">Les </w:t>
      </w:r>
      <w:r w:rsidRPr="005354E4">
        <w:rPr>
          <w:rFonts w:eastAsia="Cambria" w:cstheme="minorHAnsi"/>
          <w:b/>
        </w:rPr>
        <w:t>é</w:t>
      </w:r>
      <w:r w:rsidR="007074FC" w:rsidRPr="005354E4">
        <w:rPr>
          <w:rFonts w:eastAsia="Cambria" w:cstheme="minorHAnsi"/>
          <w:b/>
        </w:rPr>
        <w:t xml:space="preserve">léments d’analyse à prendre en compte </w:t>
      </w:r>
      <w:r w:rsidRPr="005354E4">
        <w:rPr>
          <w:rFonts w:eastAsia="Cambria" w:cstheme="minorHAnsi"/>
        </w:rPr>
        <w:t>sont</w:t>
      </w:r>
      <w:r w:rsidR="00154D85" w:rsidRPr="005354E4">
        <w:rPr>
          <w:rFonts w:eastAsia="Cambria" w:cstheme="minorHAnsi"/>
        </w:rPr>
        <w:t xml:space="preserve"> notamment</w:t>
      </w:r>
      <w:r w:rsidRPr="005354E4">
        <w:rPr>
          <w:rFonts w:eastAsia="Cambria" w:cstheme="minorHAnsi"/>
        </w:rPr>
        <w:t> :</w:t>
      </w:r>
    </w:p>
    <w:p w14:paraId="4CF381D7" w14:textId="77777777" w:rsidR="007074FC" w:rsidRPr="005354E4" w:rsidRDefault="00A227BF" w:rsidP="007C6DF5">
      <w:pPr>
        <w:pStyle w:val="Paragraphedeliste"/>
        <w:numPr>
          <w:ilvl w:val="0"/>
          <w:numId w:val="41"/>
        </w:numPr>
        <w:ind w:left="360"/>
        <w:jc w:val="both"/>
        <w:rPr>
          <w:rFonts w:eastAsia="Cambria" w:cstheme="minorHAnsi"/>
        </w:rPr>
      </w:pPr>
      <w:r w:rsidRPr="005354E4">
        <w:rPr>
          <w:rFonts w:eastAsia="Cambria" w:cstheme="minorHAnsi"/>
          <w:b/>
        </w:rPr>
        <w:t>L’existence possible d’une</w:t>
      </w:r>
      <w:r w:rsidR="007074FC" w:rsidRPr="005354E4">
        <w:rPr>
          <w:rFonts w:eastAsia="Cambria" w:cstheme="minorHAnsi"/>
          <w:b/>
        </w:rPr>
        <w:t xml:space="preserve"> prise de possession du moyen d’authentificati</w:t>
      </w:r>
      <w:r w:rsidR="00EE7363" w:rsidRPr="005354E4">
        <w:rPr>
          <w:rFonts w:eastAsia="Cambria" w:cstheme="minorHAnsi"/>
          <w:b/>
        </w:rPr>
        <w:t>on forte par une tierce partie</w:t>
      </w:r>
      <w:r w:rsidR="00154D85" w:rsidRPr="005354E4">
        <w:rPr>
          <w:rFonts w:eastAsia="Cambria" w:cstheme="minorHAnsi"/>
        </w:rPr>
        <w:t>, notamment en cas d’occurrence d’un ou plusieurs facteurs ci-après</w:t>
      </w:r>
      <w:r w:rsidR="00EE7363" w:rsidRPr="005354E4">
        <w:rPr>
          <w:rFonts w:eastAsia="Cambria" w:cstheme="minorHAnsi"/>
        </w:rPr>
        <w:t> :</w:t>
      </w:r>
    </w:p>
    <w:p w14:paraId="34C8F637" w14:textId="77777777" w:rsidR="007074FC" w:rsidRPr="005354E4" w:rsidRDefault="00CB4482" w:rsidP="007C6DF5">
      <w:pPr>
        <w:pStyle w:val="Paragraphedeliste"/>
        <w:numPr>
          <w:ilvl w:val="1"/>
          <w:numId w:val="41"/>
        </w:numPr>
        <w:ind w:left="1080"/>
        <w:jc w:val="both"/>
        <w:rPr>
          <w:rFonts w:eastAsia="Cambria" w:cstheme="minorHAnsi"/>
        </w:rPr>
      </w:pPr>
      <w:r w:rsidRPr="005354E4">
        <w:rPr>
          <w:rFonts w:eastAsia="Cambria" w:cstheme="minorHAnsi"/>
        </w:rPr>
        <w:t xml:space="preserve">le </w:t>
      </w:r>
      <w:r w:rsidR="00154D85" w:rsidRPr="005354E4">
        <w:rPr>
          <w:rFonts w:eastAsia="Cambria" w:cstheme="minorHAnsi"/>
        </w:rPr>
        <w:t>t</w:t>
      </w:r>
      <w:r w:rsidR="007074FC" w:rsidRPr="005354E4">
        <w:rPr>
          <w:rFonts w:eastAsia="Cambria" w:cstheme="minorHAnsi"/>
        </w:rPr>
        <w:t>ransfert du moyen d’aut</w:t>
      </w:r>
      <w:r w:rsidR="00EF4D62" w:rsidRPr="005354E4">
        <w:rPr>
          <w:rFonts w:eastAsia="Cambria" w:cstheme="minorHAnsi"/>
        </w:rPr>
        <w:t>hentification forte en amont de</w:t>
      </w:r>
      <w:r w:rsidR="007074FC" w:rsidRPr="005354E4">
        <w:rPr>
          <w:rFonts w:eastAsia="Cambria" w:cstheme="minorHAnsi"/>
        </w:rPr>
        <w:t xml:space="preserve"> la fraude (par exemple, enrôlement d’un nouveau mobile)</w:t>
      </w:r>
      <w:r w:rsidR="00EF4D62" w:rsidRPr="005354E4">
        <w:rPr>
          <w:rFonts w:eastAsia="Cambria" w:cstheme="minorHAnsi"/>
        </w:rPr>
        <w:t> ;</w:t>
      </w:r>
    </w:p>
    <w:p w14:paraId="1C9A5F0B" w14:textId="77777777" w:rsidR="007074FC" w:rsidRPr="005354E4" w:rsidRDefault="00CB4482" w:rsidP="007C6DF5">
      <w:pPr>
        <w:pStyle w:val="Paragraphedeliste"/>
        <w:numPr>
          <w:ilvl w:val="1"/>
          <w:numId w:val="41"/>
        </w:numPr>
        <w:ind w:left="1080"/>
        <w:jc w:val="both"/>
        <w:rPr>
          <w:rFonts w:eastAsia="Cambria" w:cstheme="minorHAnsi"/>
        </w:rPr>
      </w:pPr>
      <w:r w:rsidRPr="005354E4">
        <w:rPr>
          <w:rFonts w:eastAsia="Cambria" w:cstheme="minorHAnsi"/>
        </w:rPr>
        <w:t>l’</w:t>
      </w:r>
      <w:r w:rsidR="007074FC" w:rsidRPr="005354E4">
        <w:rPr>
          <w:rFonts w:eastAsia="Cambria" w:cstheme="minorHAnsi"/>
        </w:rPr>
        <w:t>émission d’une nouvelle carte SIM par l’opérateur</w:t>
      </w:r>
      <w:r w:rsidR="00862D9B" w:rsidRPr="005354E4">
        <w:rPr>
          <w:rFonts w:eastAsia="Cambria" w:cstheme="minorHAnsi"/>
        </w:rPr>
        <w:t xml:space="preserve"> téléphoniqu</w:t>
      </w:r>
      <w:r w:rsidR="002B77BD">
        <w:rPr>
          <w:rFonts w:eastAsia="Cambria" w:cstheme="minorHAnsi"/>
        </w:rPr>
        <w:t xml:space="preserve">e </w:t>
      </w:r>
      <w:r w:rsidR="00154D85" w:rsidRPr="005354E4">
        <w:rPr>
          <w:rFonts w:eastAsia="Cambria" w:cstheme="minorHAnsi"/>
        </w:rPr>
        <w:t>dans l</w:t>
      </w:r>
      <w:r w:rsidR="002B77BD">
        <w:rPr>
          <w:rFonts w:eastAsia="Cambria" w:cstheme="minorHAnsi"/>
        </w:rPr>
        <w:t>e</w:t>
      </w:r>
      <w:r w:rsidR="00154D85" w:rsidRPr="005354E4">
        <w:rPr>
          <w:rFonts w:eastAsia="Cambria" w:cstheme="minorHAnsi"/>
        </w:rPr>
        <w:t xml:space="preserve"> cas d’une solution d’authentification forte de type « SMS renforcé »</w:t>
      </w:r>
      <w:r w:rsidRPr="005354E4">
        <w:rPr>
          <w:rFonts w:eastAsia="Cambria" w:cstheme="minorHAnsi"/>
        </w:rPr>
        <w:t> </w:t>
      </w:r>
      <w:r w:rsidR="00EF4D62" w:rsidRPr="005354E4">
        <w:rPr>
          <w:rFonts w:eastAsia="Cambria" w:cstheme="minorHAnsi"/>
        </w:rPr>
        <w:t>;</w:t>
      </w:r>
    </w:p>
    <w:p w14:paraId="693CF246" w14:textId="77777777" w:rsidR="00EE7363" w:rsidRPr="005354E4" w:rsidRDefault="00CB4482" w:rsidP="007C6DF5">
      <w:pPr>
        <w:pStyle w:val="Paragraphedeliste"/>
        <w:numPr>
          <w:ilvl w:val="1"/>
          <w:numId w:val="41"/>
        </w:numPr>
        <w:ind w:left="1080"/>
        <w:jc w:val="both"/>
        <w:rPr>
          <w:rFonts w:eastAsia="Cambria" w:cstheme="minorHAnsi"/>
        </w:rPr>
      </w:pPr>
      <w:r w:rsidRPr="005354E4">
        <w:rPr>
          <w:rFonts w:eastAsia="Cambria" w:cstheme="minorHAnsi"/>
        </w:rPr>
        <w:t xml:space="preserve">la </w:t>
      </w:r>
      <w:r w:rsidR="00154D85" w:rsidRPr="005354E4">
        <w:rPr>
          <w:rFonts w:eastAsia="Cambria" w:cstheme="minorHAnsi"/>
        </w:rPr>
        <w:t>s</w:t>
      </w:r>
      <w:r w:rsidR="00EE7363" w:rsidRPr="005354E4">
        <w:rPr>
          <w:rFonts w:eastAsia="Cambria" w:cstheme="minorHAnsi"/>
        </w:rPr>
        <w:t xml:space="preserve">aisie des identifiants </w:t>
      </w:r>
      <w:r w:rsidR="00EF4D62" w:rsidRPr="005354E4">
        <w:rPr>
          <w:rFonts w:eastAsia="Cambria" w:cstheme="minorHAnsi"/>
        </w:rPr>
        <w:t>par une tierce</w:t>
      </w:r>
      <w:r w:rsidR="00EE7363" w:rsidRPr="005354E4">
        <w:rPr>
          <w:rFonts w:eastAsia="Cambria" w:cstheme="minorHAnsi"/>
        </w:rPr>
        <w:t xml:space="preserve"> partie</w:t>
      </w:r>
      <w:r w:rsidR="00154D85" w:rsidRPr="005354E4">
        <w:rPr>
          <w:rFonts w:eastAsia="Cambria" w:cstheme="minorHAnsi"/>
        </w:rPr>
        <w:t xml:space="preserve"> et/ou sur un terminal n’étant pas identifié comme appartenant à l’utilisateur (cas des solutions d’authentification forte nécessitant une saisie des données d’authentification </w:t>
      </w:r>
      <w:r w:rsidRPr="005354E4">
        <w:rPr>
          <w:rFonts w:eastAsia="Cambria" w:cstheme="minorHAnsi"/>
        </w:rPr>
        <w:t xml:space="preserve">sur </w:t>
      </w:r>
      <w:r w:rsidR="00154D85" w:rsidRPr="005354E4">
        <w:rPr>
          <w:rFonts w:eastAsia="Cambria" w:cstheme="minorHAnsi"/>
        </w:rPr>
        <w:t>la page de paiement)</w:t>
      </w:r>
      <w:r w:rsidR="00EF4D62" w:rsidRPr="005354E4">
        <w:rPr>
          <w:rFonts w:eastAsia="Cambria" w:cstheme="minorHAnsi"/>
        </w:rPr>
        <w:t>.</w:t>
      </w:r>
    </w:p>
    <w:p w14:paraId="622759FE" w14:textId="77777777" w:rsidR="009A2ECD" w:rsidRPr="005354E4" w:rsidRDefault="009A2ECD" w:rsidP="007C6DF5">
      <w:pPr>
        <w:pStyle w:val="Paragraphedeliste"/>
        <w:ind w:left="1080"/>
        <w:jc w:val="both"/>
        <w:rPr>
          <w:rFonts w:eastAsia="Cambria" w:cstheme="minorHAnsi"/>
        </w:rPr>
      </w:pPr>
    </w:p>
    <w:p w14:paraId="1AB45B10" w14:textId="77777777" w:rsidR="00154D85" w:rsidRPr="005354E4" w:rsidRDefault="00154D85" w:rsidP="007C6DF5">
      <w:pPr>
        <w:pStyle w:val="Paragraphedeliste"/>
        <w:numPr>
          <w:ilvl w:val="0"/>
          <w:numId w:val="41"/>
        </w:numPr>
        <w:ind w:left="360"/>
        <w:jc w:val="both"/>
        <w:rPr>
          <w:rFonts w:eastAsia="Cambria" w:cstheme="minorHAnsi"/>
        </w:rPr>
      </w:pPr>
      <w:r w:rsidRPr="005354E4">
        <w:rPr>
          <w:rFonts w:eastAsia="Cambria" w:cstheme="minorHAnsi"/>
          <w:b/>
        </w:rPr>
        <w:t>L</w:t>
      </w:r>
      <w:r w:rsidR="004B12B4" w:rsidRPr="005354E4">
        <w:rPr>
          <w:rFonts w:eastAsia="Cambria" w:cstheme="minorHAnsi"/>
          <w:b/>
        </w:rPr>
        <w:t>es paramètres de l’opération, visant à identifier dans quelle mesure l’utilisateur en est</w:t>
      </w:r>
      <w:r w:rsidR="008A2E3C" w:rsidRPr="005354E4">
        <w:rPr>
          <w:rFonts w:eastAsia="Cambria" w:cstheme="minorHAnsi"/>
          <w:b/>
        </w:rPr>
        <w:t xml:space="preserve"> ou non</w:t>
      </w:r>
      <w:r w:rsidR="004B12B4" w:rsidRPr="005354E4">
        <w:rPr>
          <w:rFonts w:eastAsia="Cambria" w:cstheme="minorHAnsi"/>
          <w:b/>
        </w:rPr>
        <w:t xml:space="preserve"> à l’origine :</w:t>
      </w:r>
      <w:r w:rsidRPr="005354E4">
        <w:rPr>
          <w:rFonts w:eastAsia="Cambria" w:cstheme="minorHAnsi"/>
        </w:rPr>
        <w:t xml:space="preserve"> </w:t>
      </w:r>
      <w:r w:rsidR="004B12B4" w:rsidRPr="005354E4">
        <w:rPr>
          <w:rFonts w:eastAsia="Cambria" w:cstheme="minorHAnsi"/>
        </w:rPr>
        <w:t>cette analyse est nécessaire afin d</w:t>
      </w:r>
      <w:r w:rsidR="00EA126E" w:rsidRPr="005354E4">
        <w:rPr>
          <w:rFonts w:eastAsia="Cambria" w:cstheme="minorHAnsi"/>
        </w:rPr>
        <w:t>e distinguer d’une part</w:t>
      </w:r>
      <w:r w:rsidR="004B12B4" w:rsidRPr="005354E4">
        <w:rPr>
          <w:rFonts w:eastAsia="Cambria" w:cstheme="minorHAnsi"/>
        </w:rPr>
        <w:t xml:space="preserve"> </w:t>
      </w:r>
      <w:r w:rsidR="00EA126E" w:rsidRPr="005354E4">
        <w:rPr>
          <w:rFonts w:eastAsia="Cambria" w:cstheme="minorHAnsi"/>
        </w:rPr>
        <w:t>l</w:t>
      </w:r>
      <w:r w:rsidR="004B12B4" w:rsidRPr="005354E4">
        <w:rPr>
          <w:rFonts w:eastAsia="Cambria" w:cstheme="minorHAnsi"/>
        </w:rPr>
        <w:t xml:space="preserve">es cas de contestation qui pourraient relever </w:t>
      </w:r>
      <w:r w:rsidR="008A2E3C" w:rsidRPr="005354E4">
        <w:rPr>
          <w:rFonts w:eastAsia="Cambria" w:cstheme="minorHAnsi"/>
        </w:rPr>
        <w:t>d’un</w:t>
      </w:r>
      <w:r w:rsidR="004B12B4" w:rsidRPr="005354E4">
        <w:rPr>
          <w:rFonts w:eastAsia="Cambria" w:cstheme="minorHAnsi"/>
        </w:rPr>
        <w:t xml:space="preserve"> litige commercial plutôt que </w:t>
      </w:r>
      <w:r w:rsidR="008A2E3C" w:rsidRPr="005354E4">
        <w:rPr>
          <w:rFonts w:eastAsia="Cambria" w:cstheme="minorHAnsi"/>
        </w:rPr>
        <w:t>d’une</w:t>
      </w:r>
      <w:r w:rsidR="004B12B4" w:rsidRPr="005354E4">
        <w:rPr>
          <w:rFonts w:eastAsia="Cambria" w:cstheme="minorHAnsi"/>
        </w:rPr>
        <w:t xml:space="preserve"> fraude aux moyens de paiement</w:t>
      </w:r>
      <w:r w:rsidR="00EA126E" w:rsidRPr="005354E4">
        <w:rPr>
          <w:rFonts w:eastAsia="Cambria" w:cstheme="minorHAnsi"/>
        </w:rPr>
        <w:t xml:space="preserve"> (</w:t>
      </w:r>
      <w:r w:rsidR="008A2E3C" w:rsidRPr="005354E4">
        <w:rPr>
          <w:rFonts w:eastAsia="Cambria" w:cstheme="minorHAnsi"/>
        </w:rPr>
        <w:t>dans le cas d’un litige commercial, l’opération a été initiée par l’utilisateur</w:t>
      </w:r>
      <w:r w:rsidR="00EA126E" w:rsidRPr="005354E4">
        <w:rPr>
          <w:rFonts w:eastAsia="Cambria" w:cstheme="minorHAnsi"/>
        </w:rPr>
        <w:t>)</w:t>
      </w:r>
      <w:r w:rsidR="00862D9B" w:rsidRPr="005354E4">
        <w:rPr>
          <w:rFonts w:eastAsia="Cambria" w:cstheme="minorHAnsi"/>
        </w:rPr>
        <w:t>,</w:t>
      </w:r>
      <w:r w:rsidR="00EA126E" w:rsidRPr="005354E4">
        <w:rPr>
          <w:rFonts w:eastAsia="Cambria" w:cstheme="minorHAnsi"/>
        </w:rPr>
        <w:t xml:space="preserve"> et d’autre part</w:t>
      </w:r>
      <w:r w:rsidR="00862D9B" w:rsidRPr="005354E4">
        <w:rPr>
          <w:rFonts w:eastAsia="Cambria" w:cstheme="minorHAnsi"/>
        </w:rPr>
        <w:t xml:space="preserve"> les cas où </w:t>
      </w:r>
      <w:r w:rsidR="00EA126E" w:rsidRPr="005354E4">
        <w:rPr>
          <w:rFonts w:eastAsia="Cambria" w:cstheme="minorHAnsi"/>
        </w:rPr>
        <w:t xml:space="preserve">l’opération a manifestement été </w:t>
      </w:r>
      <w:r w:rsidR="008A2E3C" w:rsidRPr="005354E4">
        <w:rPr>
          <w:rFonts w:eastAsia="Cambria" w:cstheme="minorHAnsi"/>
        </w:rPr>
        <w:t>initiée</w:t>
      </w:r>
      <w:r w:rsidR="00EA126E" w:rsidRPr="005354E4">
        <w:rPr>
          <w:rFonts w:eastAsia="Cambria" w:cstheme="minorHAnsi"/>
        </w:rPr>
        <w:t xml:space="preserve"> par une personne distincte de l’utilisateur</w:t>
      </w:r>
      <w:r w:rsidR="00862D9B" w:rsidRPr="005354E4">
        <w:rPr>
          <w:rFonts w:eastAsia="Cambria" w:cstheme="minorHAnsi"/>
        </w:rPr>
        <w:t xml:space="preserve"> (</w:t>
      </w:r>
      <w:r w:rsidR="00EA126E" w:rsidRPr="005354E4">
        <w:rPr>
          <w:rFonts w:eastAsia="Cambria" w:cstheme="minorHAnsi"/>
        </w:rPr>
        <w:t xml:space="preserve">l’utilisateur </w:t>
      </w:r>
      <w:r w:rsidR="008A2E3C" w:rsidRPr="005354E4">
        <w:rPr>
          <w:rFonts w:eastAsia="Cambria" w:cstheme="minorHAnsi"/>
        </w:rPr>
        <w:t>pouvant cependant être</w:t>
      </w:r>
      <w:r w:rsidR="00EA126E" w:rsidRPr="005354E4">
        <w:rPr>
          <w:rFonts w:eastAsia="Cambria" w:cstheme="minorHAnsi"/>
        </w:rPr>
        <w:t xml:space="preserve"> sollicité par le fraudeur au moment de l’authentification)</w:t>
      </w:r>
      <w:r w:rsidR="006929DF" w:rsidRPr="005354E4">
        <w:rPr>
          <w:rFonts w:eastAsia="Cambria" w:cstheme="minorHAnsi"/>
        </w:rPr>
        <w:t>.</w:t>
      </w:r>
    </w:p>
    <w:p w14:paraId="14163CF9" w14:textId="77777777" w:rsidR="00154D85" w:rsidRPr="005354E4" w:rsidRDefault="00154D85" w:rsidP="007C6DF5">
      <w:pPr>
        <w:pStyle w:val="Paragraphedeliste"/>
        <w:ind w:left="349"/>
        <w:jc w:val="both"/>
        <w:rPr>
          <w:rFonts w:eastAsia="Cambria" w:cstheme="minorHAnsi"/>
        </w:rPr>
      </w:pPr>
    </w:p>
    <w:p w14:paraId="342DCCDD" w14:textId="77777777" w:rsidR="007074FC" w:rsidRPr="005354E4" w:rsidRDefault="009A2ECD" w:rsidP="007C6DF5">
      <w:pPr>
        <w:pStyle w:val="Paragraphedeliste"/>
        <w:numPr>
          <w:ilvl w:val="0"/>
          <w:numId w:val="41"/>
        </w:numPr>
        <w:ind w:left="360"/>
        <w:jc w:val="both"/>
        <w:rPr>
          <w:rFonts w:eastAsia="Cambria" w:cstheme="minorHAnsi"/>
        </w:rPr>
      </w:pPr>
      <w:r w:rsidRPr="005354E4">
        <w:rPr>
          <w:rFonts w:eastAsia="Cambria" w:cstheme="minorHAnsi"/>
        </w:rPr>
        <w:t>L</w:t>
      </w:r>
      <w:r w:rsidR="003943A1" w:rsidRPr="005354E4">
        <w:rPr>
          <w:rFonts w:eastAsia="Cambria" w:cstheme="minorHAnsi"/>
        </w:rPr>
        <w:t>es</w:t>
      </w:r>
      <w:r w:rsidRPr="005354E4">
        <w:rPr>
          <w:rFonts w:eastAsia="Cambria" w:cstheme="minorHAnsi"/>
        </w:rPr>
        <w:t xml:space="preserve"> </w:t>
      </w:r>
      <w:r w:rsidR="008A2E3C" w:rsidRPr="005354E4">
        <w:rPr>
          <w:rFonts w:eastAsia="Cambria" w:cstheme="minorHAnsi"/>
          <w:b/>
        </w:rPr>
        <w:t>éléments relatifs</w:t>
      </w:r>
      <w:r w:rsidR="003943A1" w:rsidRPr="005354E4">
        <w:rPr>
          <w:rFonts w:eastAsia="Cambria" w:cstheme="minorHAnsi"/>
          <w:b/>
        </w:rPr>
        <w:t xml:space="preserve"> au contexte de </w:t>
      </w:r>
      <w:r w:rsidR="008A2E3C" w:rsidRPr="005354E4">
        <w:rPr>
          <w:rFonts w:eastAsia="Cambria" w:cstheme="minorHAnsi"/>
          <w:b/>
        </w:rPr>
        <w:t>l’opération</w:t>
      </w:r>
      <w:r w:rsidR="003943A1" w:rsidRPr="005354E4">
        <w:rPr>
          <w:rFonts w:eastAsia="Cambria" w:cstheme="minorHAnsi"/>
        </w:rPr>
        <w:t xml:space="preserve">, notamment </w:t>
      </w:r>
      <w:r w:rsidR="003943A1" w:rsidRPr="005354E4">
        <w:rPr>
          <w:rFonts w:eastAsia="Cambria" w:cstheme="minorHAnsi"/>
          <w:b/>
        </w:rPr>
        <w:t xml:space="preserve">la qualité et l’exhaustivité des </w:t>
      </w:r>
      <w:r w:rsidR="00CF43A4" w:rsidRPr="005354E4">
        <w:rPr>
          <w:rFonts w:eastAsia="Cambria" w:cstheme="minorHAnsi"/>
          <w:b/>
        </w:rPr>
        <w:t>information</w:t>
      </w:r>
      <w:r w:rsidR="008A2E3C" w:rsidRPr="005354E4">
        <w:rPr>
          <w:rFonts w:eastAsia="Cambria" w:cstheme="minorHAnsi"/>
          <w:b/>
        </w:rPr>
        <w:t>s</w:t>
      </w:r>
      <w:r w:rsidR="00CF43A4" w:rsidRPr="005354E4">
        <w:rPr>
          <w:rFonts w:eastAsia="Cambria" w:cstheme="minorHAnsi"/>
          <w:b/>
        </w:rPr>
        <w:t xml:space="preserve"> </w:t>
      </w:r>
      <w:r w:rsidR="003943A1" w:rsidRPr="005354E4">
        <w:rPr>
          <w:rFonts w:eastAsia="Cambria" w:cstheme="minorHAnsi"/>
          <w:b/>
        </w:rPr>
        <w:t>fourni</w:t>
      </w:r>
      <w:r w:rsidR="008A2E3C" w:rsidRPr="005354E4">
        <w:rPr>
          <w:rFonts w:eastAsia="Cambria" w:cstheme="minorHAnsi"/>
          <w:b/>
        </w:rPr>
        <w:t>e</w:t>
      </w:r>
      <w:r w:rsidR="003943A1" w:rsidRPr="005354E4">
        <w:rPr>
          <w:rFonts w:eastAsia="Cambria" w:cstheme="minorHAnsi"/>
          <w:b/>
        </w:rPr>
        <w:t xml:space="preserve">s par </w:t>
      </w:r>
      <w:r w:rsidR="008A2E3C" w:rsidRPr="005354E4">
        <w:rPr>
          <w:rFonts w:eastAsia="Cambria" w:cstheme="minorHAnsi"/>
          <w:b/>
        </w:rPr>
        <w:t>le prestataire de services de paiement</w:t>
      </w:r>
      <w:r w:rsidR="003943A1" w:rsidRPr="005354E4">
        <w:rPr>
          <w:rFonts w:eastAsia="Cambria" w:cstheme="minorHAnsi"/>
        </w:rPr>
        <w:t xml:space="preserve"> au moment de l’authentification </w:t>
      </w:r>
      <w:r w:rsidR="001E5DB0" w:rsidRPr="005354E4">
        <w:rPr>
          <w:rFonts w:eastAsia="Cambria" w:cstheme="minorHAnsi"/>
        </w:rPr>
        <w:t xml:space="preserve">de l’opération </w:t>
      </w:r>
      <w:r w:rsidR="003943A1" w:rsidRPr="005354E4">
        <w:rPr>
          <w:rFonts w:eastAsia="Cambria" w:cstheme="minorHAnsi"/>
        </w:rPr>
        <w:t>ou via des mécanismes d’alerte</w:t>
      </w:r>
      <w:r w:rsidR="00E71D39" w:rsidRPr="005354E4">
        <w:rPr>
          <w:rFonts w:eastAsia="Cambria" w:cstheme="minorHAnsi"/>
        </w:rPr>
        <w:t xml:space="preserve"> en temps réel,</w:t>
      </w:r>
      <w:r w:rsidR="001E5DB0" w:rsidRPr="005354E4">
        <w:rPr>
          <w:rFonts w:eastAsia="Cambria" w:cstheme="minorHAnsi"/>
        </w:rPr>
        <w:t xml:space="preserve"> </w:t>
      </w:r>
      <w:r w:rsidR="003943A1" w:rsidRPr="005354E4">
        <w:rPr>
          <w:rFonts w:eastAsia="Cambria" w:cstheme="minorHAnsi"/>
        </w:rPr>
        <w:t xml:space="preserve">ainsi que </w:t>
      </w:r>
      <w:r w:rsidR="003943A1" w:rsidRPr="005354E4">
        <w:rPr>
          <w:rFonts w:eastAsia="Cambria" w:cstheme="minorHAnsi"/>
          <w:b/>
        </w:rPr>
        <w:t>les éléments rapport</w:t>
      </w:r>
      <w:r w:rsidR="004B12B4" w:rsidRPr="005354E4">
        <w:rPr>
          <w:rFonts w:eastAsia="Cambria" w:cstheme="minorHAnsi"/>
          <w:b/>
        </w:rPr>
        <w:t>é</w:t>
      </w:r>
      <w:r w:rsidR="003943A1" w:rsidRPr="005354E4">
        <w:rPr>
          <w:rFonts w:eastAsia="Cambria" w:cstheme="minorHAnsi"/>
          <w:b/>
        </w:rPr>
        <w:t>s par l’utilisateur</w:t>
      </w:r>
      <w:r w:rsidR="0026054C" w:rsidRPr="005354E4">
        <w:rPr>
          <w:rFonts w:eastAsia="Cambria" w:cstheme="minorHAnsi"/>
          <w:b/>
        </w:rPr>
        <w:t xml:space="preserve"> (cf. recommandation n°8)</w:t>
      </w:r>
      <w:r w:rsidR="00154D85" w:rsidRPr="005354E4">
        <w:rPr>
          <w:rFonts w:eastAsia="Cambria" w:cstheme="minorHAnsi"/>
        </w:rPr>
        <w:t>.</w:t>
      </w:r>
    </w:p>
    <w:tbl>
      <w:tblPr>
        <w:tblStyle w:val="Grilledutableau"/>
        <w:tblW w:w="0" w:type="auto"/>
        <w:tblBorders>
          <w:top w:val="triple" w:sz="6" w:space="0" w:color="0070C0"/>
          <w:left w:val="triple" w:sz="6" w:space="0" w:color="0070C0"/>
          <w:bottom w:val="triple" w:sz="6" w:space="0" w:color="0070C0"/>
          <w:right w:val="triple" w:sz="6" w:space="0" w:color="0070C0"/>
          <w:insideH w:val="triple" w:sz="6" w:space="0" w:color="0070C0"/>
          <w:insideV w:val="triple" w:sz="6" w:space="0" w:color="0070C0"/>
        </w:tblBorders>
        <w:tblLook w:val="04A0" w:firstRow="1" w:lastRow="0" w:firstColumn="1" w:lastColumn="0" w:noHBand="0" w:noVBand="1"/>
      </w:tblPr>
      <w:tblGrid>
        <w:gridCol w:w="8994"/>
      </w:tblGrid>
      <w:tr w:rsidR="00D0297F" w:rsidRPr="005354E4" w14:paraId="44E6FA2A" w14:textId="77777777" w:rsidTr="00B05873">
        <w:trPr>
          <w:trHeight w:val="776"/>
        </w:trPr>
        <w:tc>
          <w:tcPr>
            <w:tcW w:w="8994" w:type="dxa"/>
          </w:tcPr>
          <w:p w14:paraId="5C18FACC" w14:textId="77777777" w:rsidR="00D0297F" w:rsidRPr="005354E4" w:rsidRDefault="00D0297F" w:rsidP="00D0297F">
            <w:pPr>
              <w:ind w:left="10"/>
              <w:jc w:val="both"/>
              <w:rPr>
                <w:rFonts w:cstheme="minorHAnsi"/>
                <w:b/>
                <w:color w:val="000099"/>
              </w:rPr>
            </w:pPr>
            <w:r w:rsidRPr="005354E4">
              <w:rPr>
                <w:rFonts w:cstheme="minorHAnsi"/>
                <w:b/>
                <w:color w:val="000099"/>
              </w:rPr>
              <w:t xml:space="preserve">Recommandation </w:t>
            </w:r>
            <w:r w:rsidR="00BE75B4" w:rsidRPr="005354E4">
              <w:rPr>
                <w:rFonts w:cstheme="minorHAnsi"/>
                <w:b/>
                <w:color w:val="000099"/>
              </w:rPr>
              <w:t>n°</w:t>
            </w:r>
            <w:r w:rsidR="00CB4482" w:rsidRPr="005354E4">
              <w:rPr>
                <w:rFonts w:cstheme="minorHAnsi"/>
                <w:b/>
                <w:color w:val="000099"/>
              </w:rPr>
              <w:t> </w:t>
            </w:r>
            <w:r w:rsidR="009171EA" w:rsidRPr="005354E4">
              <w:rPr>
                <w:rFonts w:cstheme="minorHAnsi"/>
                <w:b/>
                <w:color w:val="000099"/>
              </w:rPr>
              <w:t>6</w:t>
            </w:r>
            <w:r w:rsidRPr="005354E4">
              <w:rPr>
                <w:rFonts w:cstheme="minorHAnsi"/>
                <w:b/>
                <w:color w:val="000099"/>
              </w:rPr>
              <w:t> :</w:t>
            </w:r>
            <w:r w:rsidR="00114D74" w:rsidRPr="005354E4">
              <w:rPr>
                <w:rFonts w:cstheme="minorHAnsi"/>
                <w:b/>
                <w:color w:val="000099"/>
              </w:rPr>
              <w:t xml:space="preserve"> </w:t>
            </w:r>
            <w:r w:rsidR="00291CBF" w:rsidRPr="005354E4">
              <w:rPr>
                <w:rFonts w:cstheme="minorHAnsi"/>
                <w:b/>
                <w:color w:val="000099"/>
              </w:rPr>
              <w:t>principes applicables aux opérations authentifiées de manière forte</w:t>
            </w:r>
          </w:p>
          <w:p w14:paraId="455A4D02" w14:textId="77777777" w:rsidR="00D0297F" w:rsidRPr="005354E4" w:rsidRDefault="00D0297F" w:rsidP="00154D85">
            <w:pPr>
              <w:jc w:val="both"/>
              <w:rPr>
                <w:rFonts w:cstheme="minorHAnsi"/>
              </w:rPr>
            </w:pPr>
          </w:p>
          <w:p w14:paraId="34492AF5" w14:textId="77777777" w:rsidR="009609ED" w:rsidRPr="005354E4" w:rsidRDefault="006929DF" w:rsidP="00154D85">
            <w:pPr>
              <w:jc w:val="both"/>
              <w:rPr>
                <w:rFonts w:cstheme="minorHAnsi"/>
                <w:b/>
              </w:rPr>
            </w:pPr>
            <w:r w:rsidRPr="005354E4">
              <w:rPr>
                <w:rFonts w:cstheme="minorHAnsi"/>
                <w:b/>
              </w:rPr>
              <w:t>Lorsqu’un client conteste une opération de paiement qu’il nie avoir autori</w:t>
            </w:r>
            <w:r w:rsidR="00C279FC" w:rsidRPr="005354E4">
              <w:rPr>
                <w:rFonts w:cstheme="minorHAnsi"/>
                <w:b/>
              </w:rPr>
              <w:t xml:space="preserve">sée et que cette opération a été authentifiée de manière forte, le prestataire de services de paiement </w:t>
            </w:r>
            <w:r w:rsidR="004466AC" w:rsidRPr="005354E4">
              <w:rPr>
                <w:rFonts w:cstheme="minorHAnsi"/>
                <w:b/>
              </w:rPr>
              <w:t xml:space="preserve">doit </w:t>
            </w:r>
            <w:r w:rsidR="00291CBF" w:rsidRPr="005354E4">
              <w:rPr>
                <w:rFonts w:cstheme="minorHAnsi"/>
                <w:b/>
              </w:rPr>
              <w:t>procéder</w:t>
            </w:r>
            <w:r w:rsidR="004466AC" w:rsidRPr="005354E4">
              <w:rPr>
                <w:rFonts w:cstheme="minorHAnsi"/>
                <w:b/>
              </w:rPr>
              <w:t xml:space="preserve"> </w:t>
            </w:r>
            <w:r w:rsidR="00291CBF" w:rsidRPr="005354E4">
              <w:rPr>
                <w:rFonts w:cstheme="minorHAnsi"/>
                <w:b/>
              </w:rPr>
              <w:t>dans le délai d’un</w:t>
            </w:r>
            <w:r w:rsidR="004466AC" w:rsidRPr="005354E4">
              <w:rPr>
                <w:rFonts w:cstheme="minorHAnsi"/>
                <w:b/>
              </w:rPr>
              <w:t xml:space="preserve"> jour ouvré </w:t>
            </w:r>
            <w:r w:rsidR="00291CBF" w:rsidRPr="005354E4">
              <w:rPr>
                <w:rFonts w:cstheme="minorHAnsi"/>
                <w:b/>
              </w:rPr>
              <w:t xml:space="preserve">à </w:t>
            </w:r>
            <w:r w:rsidR="004466AC" w:rsidRPr="005354E4">
              <w:rPr>
                <w:rFonts w:cstheme="minorHAnsi"/>
                <w:b/>
              </w:rPr>
              <w:t xml:space="preserve">une </w:t>
            </w:r>
            <w:r w:rsidR="00F77FAB" w:rsidRPr="005354E4">
              <w:rPr>
                <w:rFonts w:cstheme="minorHAnsi"/>
                <w:b/>
              </w:rPr>
              <w:t xml:space="preserve">première </w:t>
            </w:r>
            <w:r w:rsidR="00836E20" w:rsidRPr="005354E4">
              <w:rPr>
                <w:rFonts w:cstheme="minorHAnsi"/>
                <w:b/>
              </w:rPr>
              <w:t>analyse</w:t>
            </w:r>
            <w:r w:rsidR="004466AC" w:rsidRPr="005354E4">
              <w:rPr>
                <w:rFonts w:cstheme="minorHAnsi"/>
                <w:b/>
              </w:rPr>
              <w:t xml:space="preserve"> de cette opération. Cette analyse vise à apprécier</w:t>
            </w:r>
            <w:r w:rsidR="0021315B" w:rsidRPr="005354E4">
              <w:rPr>
                <w:rFonts w:cstheme="minorHAnsi"/>
                <w:b/>
              </w:rPr>
              <w:t>, en prenant en compte les 3 familles de paramètres mentionnées ci-après,</w:t>
            </w:r>
            <w:r w:rsidR="004466AC" w:rsidRPr="005354E4">
              <w:rPr>
                <w:rFonts w:cstheme="minorHAnsi"/>
                <w:b/>
              </w:rPr>
              <w:t xml:space="preserve"> </w:t>
            </w:r>
            <w:r w:rsidR="0021315B" w:rsidRPr="005354E4">
              <w:rPr>
                <w:rFonts w:cstheme="minorHAnsi"/>
                <w:b/>
              </w:rPr>
              <w:t>si</w:t>
            </w:r>
            <w:r w:rsidR="004466AC" w:rsidRPr="005354E4">
              <w:rPr>
                <w:rFonts w:cstheme="minorHAnsi"/>
                <w:b/>
              </w:rPr>
              <w:t xml:space="preserve"> l’utilisateur est susceptible d’avoir</w:t>
            </w:r>
            <w:r w:rsidR="00D92C26" w:rsidRPr="005354E4">
              <w:rPr>
                <w:rFonts w:cstheme="minorHAnsi"/>
                <w:b/>
              </w:rPr>
              <w:t xml:space="preserve"> consenti à </w:t>
            </w:r>
            <w:r w:rsidR="004466AC" w:rsidRPr="005354E4">
              <w:rPr>
                <w:rFonts w:cstheme="minorHAnsi"/>
                <w:b/>
              </w:rPr>
              <w:t>l’opération</w:t>
            </w:r>
            <w:r w:rsidR="00F77FAB" w:rsidRPr="005354E4">
              <w:rPr>
                <w:rFonts w:cstheme="minorHAnsi"/>
                <w:b/>
              </w:rPr>
              <w:t xml:space="preserve"> ou s’il s’agit d’une opération non</w:t>
            </w:r>
            <w:r w:rsidR="0051132F" w:rsidRPr="005354E4">
              <w:rPr>
                <w:rFonts w:cstheme="minorHAnsi"/>
                <w:b/>
              </w:rPr>
              <w:t xml:space="preserve"> autorisée</w:t>
            </w:r>
            <w:r w:rsidR="00154D85" w:rsidRPr="005354E4">
              <w:rPr>
                <w:rFonts w:cstheme="minorHAnsi"/>
                <w:b/>
              </w:rPr>
              <w:t> :</w:t>
            </w:r>
          </w:p>
          <w:p w14:paraId="7601BBB0" w14:textId="77777777" w:rsidR="00863B0E" w:rsidRPr="005354E4" w:rsidRDefault="00A271CA" w:rsidP="00863B0E">
            <w:pPr>
              <w:pStyle w:val="Paragraphedeliste"/>
              <w:numPr>
                <w:ilvl w:val="0"/>
                <w:numId w:val="41"/>
              </w:numPr>
              <w:spacing w:before="120"/>
              <w:ind w:left="714" w:hanging="357"/>
              <w:contextualSpacing w:val="0"/>
              <w:jc w:val="both"/>
              <w:rPr>
                <w:rFonts w:cstheme="minorHAnsi"/>
              </w:rPr>
            </w:pPr>
            <w:r w:rsidRPr="005354E4">
              <w:rPr>
                <w:rFonts w:cstheme="minorHAnsi"/>
                <w:b/>
              </w:rPr>
              <w:t>l</w:t>
            </w:r>
            <w:r w:rsidR="00863B0E" w:rsidRPr="005354E4">
              <w:rPr>
                <w:rFonts w:cstheme="minorHAnsi"/>
                <w:b/>
              </w:rPr>
              <w:t xml:space="preserve">es paramètres techniques associés à l’opération </w:t>
            </w:r>
            <w:r w:rsidR="00863B0E" w:rsidRPr="005354E4">
              <w:rPr>
                <w:rFonts w:cstheme="minorHAnsi"/>
              </w:rPr>
              <w:t>(</w:t>
            </w:r>
            <w:r w:rsidR="00563183" w:rsidRPr="005354E4">
              <w:rPr>
                <w:rFonts w:cstheme="minorHAnsi"/>
              </w:rPr>
              <w:t>tel</w:t>
            </w:r>
            <w:r w:rsidR="008C7864" w:rsidRPr="005354E4">
              <w:rPr>
                <w:rFonts w:cstheme="minorHAnsi"/>
              </w:rPr>
              <w:t>s</w:t>
            </w:r>
            <w:r w:rsidR="00563183" w:rsidRPr="005354E4">
              <w:rPr>
                <w:rFonts w:cstheme="minorHAnsi"/>
              </w:rPr>
              <w:t xml:space="preserve"> que </w:t>
            </w:r>
            <w:r w:rsidR="008C7864" w:rsidRPr="005354E4">
              <w:rPr>
                <w:rFonts w:cstheme="minorHAnsi"/>
              </w:rPr>
              <w:t>l’</w:t>
            </w:r>
            <w:r w:rsidR="00863B0E" w:rsidRPr="005354E4">
              <w:rPr>
                <w:rFonts w:cstheme="minorHAnsi"/>
              </w:rPr>
              <w:t xml:space="preserve">origine de la transaction, </w:t>
            </w:r>
            <w:r w:rsidR="000D3D57" w:rsidRPr="005354E4">
              <w:rPr>
                <w:rFonts w:cstheme="minorHAnsi"/>
              </w:rPr>
              <w:t xml:space="preserve">le </w:t>
            </w:r>
            <w:r w:rsidR="00863B0E" w:rsidRPr="005354E4">
              <w:rPr>
                <w:rFonts w:cstheme="minorHAnsi"/>
              </w:rPr>
              <w:t xml:space="preserve">terminal utilisé pour l’achat ou la connexion à la banque en ligne, </w:t>
            </w:r>
            <w:r w:rsidR="000D3D57" w:rsidRPr="005354E4">
              <w:rPr>
                <w:rFonts w:cstheme="minorHAnsi"/>
              </w:rPr>
              <w:t xml:space="preserve">la </w:t>
            </w:r>
            <w:r w:rsidR="00863B0E" w:rsidRPr="005354E4">
              <w:rPr>
                <w:rFonts w:cstheme="minorHAnsi"/>
              </w:rPr>
              <w:t xml:space="preserve">localisation géographique…), pour évaluer la </w:t>
            </w:r>
            <w:r w:rsidR="00E71D39" w:rsidRPr="005354E4">
              <w:rPr>
                <w:rFonts w:cstheme="minorHAnsi"/>
              </w:rPr>
              <w:t>possibilité</w:t>
            </w:r>
            <w:r w:rsidR="00863B0E" w:rsidRPr="005354E4">
              <w:rPr>
                <w:rFonts w:cstheme="minorHAnsi"/>
              </w:rPr>
              <w:t xml:space="preserve"> que </w:t>
            </w:r>
            <w:r w:rsidRPr="005354E4">
              <w:rPr>
                <w:rFonts w:cstheme="minorHAnsi"/>
              </w:rPr>
              <w:t>l’utilisateur</w:t>
            </w:r>
            <w:r w:rsidR="00863B0E" w:rsidRPr="005354E4">
              <w:rPr>
                <w:rFonts w:cstheme="minorHAnsi"/>
              </w:rPr>
              <w:t xml:space="preserve"> en soit à l’origine ;</w:t>
            </w:r>
          </w:p>
          <w:p w14:paraId="3B8A421A" w14:textId="77777777" w:rsidR="004466AC" w:rsidRPr="005354E4" w:rsidRDefault="00A271CA" w:rsidP="00517CFD">
            <w:pPr>
              <w:pStyle w:val="Paragraphedeliste"/>
              <w:numPr>
                <w:ilvl w:val="0"/>
                <w:numId w:val="41"/>
              </w:numPr>
              <w:spacing w:before="120"/>
              <w:contextualSpacing w:val="0"/>
              <w:jc w:val="both"/>
              <w:rPr>
                <w:rFonts w:cstheme="minorHAnsi"/>
              </w:rPr>
            </w:pPr>
            <w:r w:rsidRPr="005354E4">
              <w:rPr>
                <w:rFonts w:cstheme="minorHAnsi"/>
                <w:b/>
              </w:rPr>
              <w:t>les modalités de l’</w:t>
            </w:r>
            <w:r w:rsidR="004466AC" w:rsidRPr="005354E4">
              <w:rPr>
                <w:rFonts w:cstheme="minorHAnsi"/>
                <w:b/>
              </w:rPr>
              <w:t xml:space="preserve">authentification forte mise en œuvre </w:t>
            </w:r>
            <w:r w:rsidR="004466AC" w:rsidRPr="005354E4">
              <w:rPr>
                <w:rFonts w:cstheme="minorHAnsi"/>
              </w:rPr>
              <w:t>(</w:t>
            </w:r>
            <w:r w:rsidR="00F7090B" w:rsidRPr="005354E4">
              <w:rPr>
                <w:rFonts w:cstheme="minorHAnsi"/>
              </w:rPr>
              <w:t xml:space="preserve">tel que </w:t>
            </w:r>
            <w:r w:rsidR="008C7864" w:rsidRPr="005354E4">
              <w:rPr>
                <w:rFonts w:cstheme="minorHAnsi"/>
              </w:rPr>
              <w:t xml:space="preserve">le </w:t>
            </w:r>
            <w:r w:rsidR="004466AC" w:rsidRPr="005354E4">
              <w:rPr>
                <w:rFonts w:cstheme="minorHAnsi"/>
              </w:rPr>
              <w:t xml:space="preserve">type de solution, intégrité des facteurs d’authentification et du canal de communication, </w:t>
            </w:r>
            <w:r w:rsidR="000D3D57" w:rsidRPr="005354E4">
              <w:rPr>
                <w:rFonts w:cstheme="minorHAnsi"/>
              </w:rPr>
              <w:t xml:space="preserve">la </w:t>
            </w:r>
            <w:r w:rsidR="004466AC" w:rsidRPr="005354E4">
              <w:rPr>
                <w:rFonts w:cstheme="minorHAnsi"/>
              </w:rPr>
              <w:t>preuve d’une utilisation précédente de la solution par l’utilisateur</w:t>
            </w:r>
            <w:r w:rsidR="009D7532" w:rsidRPr="005354E4">
              <w:rPr>
                <w:rFonts w:cstheme="minorHAnsi"/>
              </w:rPr>
              <w:t xml:space="preserve"> ou au contraire caractère récent de l’enrôlement</w:t>
            </w:r>
            <w:r w:rsidR="004466AC" w:rsidRPr="005354E4">
              <w:rPr>
                <w:rFonts w:cstheme="minorHAnsi"/>
              </w:rPr>
              <w:t>…), pour s’assurer du rôle effectif de l’utilisateur</w:t>
            </w:r>
            <w:r w:rsidR="003943A1" w:rsidRPr="005354E4">
              <w:rPr>
                <w:rFonts w:cstheme="minorHAnsi"/>
              </w:rPr>
              <w:t> ;</w:t>
            </w:r>
          </w:p>
          <w:p w14:paraId="4216C054" w14:textId="77777777" w:rsidR="009F6B01" w:rsidRPr="005354E4" w:rsidRDefault="00A271CA" w:rsidP="00517CFD">
            <w:pPr>
              <w:pStyle w:val="Paragraphedeliste"/>
              <w:numPr>
                <w:ilvl w:val="0"/>
                <w:numId w:val="41"/>
              </w:numPr>
              <w:spacing w:before="120"/>
              <w:ind w:left="714" w:hanging="357"/>
              <w:contextualSpacing w:val="0"/>
              <w:jc w:val="both"/>
              <w:rPr>
                <w:b/>
              </w:rPr>
            </w:pPr>
            <w:r w:rsidRPr="005354E4">
              <w:rPr>
                <w:rFonts w:cstheme="minorHAnsi"/>
                <w:b/>
              </w:rPr>
              <w:t>l</w:t>
            </w:r>
            <w:r w:rsidR="004466AC" w:rsidRPr="005354E4">
              <w:rPr>
                <w:rFonts w:cstheme="minorHAnsi"/>
                <w:b/>
              </w:rPr>
              <w:t>es éléments de contexte dont il dispose</w:t>
            </w:r>
            <w:r w:rsidR="008C7864" w:rsidRPr="005354E4">
              <w:rPr>
                <w:rFonts w:cstheme="minorHAnsi"/>
                <w:b/>
              </w:rPr>
              <w:t> </w:t>
            </w:r>
            <w:r w:rsidR="008C7864" w:rsidRPr="005354E4">
              <w:rPr>
                <w:rFonts w:cstheme="minorHAnsi"/>
              </w:rPr>
              <w:t>:</w:t>
            </w:r>
            <w:r w:rsidR="00F77FAB" w:rsidRPr="005354E4">
              <w:rPr>
                <w:rFonts w:cstheme="minorHAnsi"/>
              </w:rPr>
              <w:t xml:space="preserve"> tels que</w:t>
            </w:r>
            <w:r w:rsidR="008C7864" w:rsidRPr="005354E4">
              <w:rPr>
                <w:rFonts w:cstheme="minorHAnsi"/>
              </w:rPr>
              <w:t xml:space="preserve"> les </w:t>
            </w:r>
            <w:r w:rsidR="004466AC" w:rsidRPr="005354E4">
              <w:rPr>
                <w:rFonts w:cstheme="minorHAnsi"/>
              </w:rPr>
              <w:t>information</w:t>
            </w:r>
            <w:r w:rsidR="008C7864" w:rsidRPr="005354E4">
              <w:rPr>
                <w:rFonts w:cstheme="minorHAnsi"/>
              </w:rPr>
              <w:t>s</w:t>
            </w:r>
            <w:r w:rsidR="004466AC" w:rsidRPr="005354E4">
              <w:rPr>
                <w:rFonts w:cstheme="minorHAnsi"/>
              </w:rPr>
              <w:t xml:space="preserve"> délivrée</w:t>
            </w:r>
            <w:r w:rsidR="008C7864" w:rsidRPr="005354E4">
              <w:rPr>
                <w:rFonts w:cstheme="minorHAnsi"/>
              </w:rPr>
              <w:t>s</w:t>
            </w:r>
            <w:r w:rsidR="004466AC" w:rsidRPr="005354E4">
              <w:rPr>
                <w:rFonts w:cstheme="minorHAnsi"/>
              </w:rPr>
              <w:t xml:space="preserve"> </w:t>
            </w:r>
            <w:r w:rsidRPr="005354E4">
              <w:rPr>
                <w:rFonts w:cstheme="minorHAnsi"/>
              </w:rPr>
              <w:t>à l’utilisateur lors</w:t>
            </w:r>
            <w:r w:rsidR="004466AC" w:rsidRPr="005354E4">
              <w:rPr>
                <w:rFonts w:cstheme="minorHAnsi"/>
              </w:rPr>
              <w:t xml:space="preserve"> de l’authentification</w:t>
            </w:r>
            <w:r w:rsidR="00563183" w:rsidRPr="005354E4">
              <w:rPr>
                <w:rFonts w:cstheme="minorHAnsi"/>
              </w:rPr>
              <w:t> </w:t>
            </w:r>
            <w:r w:rsidR="008C7864" w:rsidRPr="005354E4">
              <w:rPr>
                <w:rFonts w:cstheme="minorHAnsi"/>
              </w:rPr>
              <w:t>(</w:t>
            </w:r>
            <w:r w:rsidR="00472AB9" w:rsidRPr="005354E4">
              <w:rPr>
                <w:rFonts w:cstheme="minorHAnsi"/>
              </w:rPr>
              <w:t>cf. recommandation n°11</w:t>
            </w:r>
            <w:r w:rsidR="00F905D4" w:rsidRPr="005354E4">
              <w:rPr>
                <w:rFonts w:cstheme="minorHAnsi"/>
              </w:rPr>
              <w:t>)</w:t>
            </w:r>
            <w:r w:rsidR="00F77FAB" w:rsidRPr="005354E4">
              <w:rPr>
                <w:rFonts w:cstheme="minorHAnsi"/>
              </w:rPr>
              <w:t>,</w:t>
            </w:r>
            <w:r w:rsidRPr="005354E4">
              <w:rPr>
                <w:rFonts w:cstheme="minorHAnsi"/>
              </w:rPr>
              <w:t xml:space="preserve"> les éventuelles</w:t>
            </w:r>
            <w:r w:rsidR="004466AC" w:rsidRPr="005354E4">
              <w:rPr>
                <w:rFonts w:cstheme="minorHAnsi"/>
              </w:rPr>
              <w:t xml:space="preserve"> alertes </w:t>
            </w:r>
            <w:r w:rsidRPr="005354E4">
              <w:rPr>
                <w:rFonts w:cstheme="minorHAnsi"/>
              </w:rPr>
              <w:t>liées à l’opération et adressées à l’utilisateur</w:t>
            </w:r>
            <w:r w:rsidR="004466AC" w:rsidRPr="005354E4">
              <w:rPr>
                <w:rFonts w:cstheme="minorHAnsi"/>
              </w:rPr>
              <w:t xml:space="preserve"> par </w:t>
            </w:r>
            <w:r w:rsidRPr="005354E4">
              <w:rPr>
                <w:rFonts w:cstheme="minorHAnsi"/>
              </w:rPr>
              <w:t>différents</w:t>
            </w:r>
            <w:r w:rsidR="004466AC" w:rsidRPr="005354E4">
              <w:rPr>
                <w:rFonts w:cstheme="minorHAnsi"/>
              </w:rPr>
              <w:t xml:space="preserve"> canaux</w:t>
            </w:r>
            <w:r w:rsidRPr="005354E4">
              <w:rPr>
                <w:rFonts w:cstheme="minorHAnsi"/>
              </w:rPr>
              <w:t xml:space="preserve"> de communication</w:t>
            </w:r>
            <w:r w:rsidR="00472AB9" w:rsidRPr="005354E4">
              <w:rPr>
                <w:rFonts w:cstheme="minorHAnsi"/>
              </w:rPr>
              <w:t>,</w:t>
            </w:r>
            <w:r w:rsidR="00D92C26" w:rsidRPr="005354E4">
              <w:rPr>
                <w:rFonts w:cstheme="minorHAnsi"/>
              </w:rPr>
              <w:t xml:space="preserve"> </w:t>
            </w:r>
            <w:r w:rsidR="00C24EE7" w:rsidRPr="005354E4">
              <w:rPr>
                <w:rFonts w:cstheme="minorHAnsi"/>
              </w:rPr>
              <w:t>les éléments</w:t>
            </w:r>
            <w:r w:rsidR="00D92C26" w:rsidRPr="005354E4">
              <w:rPr>
                <w:rFonts w:cstheme="minorHAnsi"/>
              </w:rPr>
              <w:t xml:space="preserve"> rapportés par l’utilisateur</w:t>
            </w:r>
            <w:r w:rsidR="00E64C7A" w:rsidRPr="005354E4">
              <w:rPr>
                <w:rFonts w:cstheme="minorHAnsi"/>
              </w:rPr>
              <w:t xml:space="preserve"> (cf. recommandation n°8)</w:t>
            </w:r>
            <w:r w:rsidR="00C24EE7" w:rsidRPr="005354E4">
              <w:rPr>
                <w:rFonts w:cstheme="minorHAnsi"/>
              </w:rPr>
              <w:t>,</w:t>
            </w:r>
            <w:r w:rsidR="00C42BA2" w:rsidRPr="005354E4">
              <w:rPr>
                <w:rFonts w:cstheme="minorHAnsi"/>
              </w:rPr>
              <w:t xml:space="preserve"> </w:t>
            </w:r>
            <w:r w:rsidR="00E64C7A" w:rsidRPr="005354E4">
              <w:rPr>
                <w:rFonts w:cstheme="minorHAnsi"/>
              </w:rPr>
              <w:t>tels que</w:t>
            </w:r>
            <w:r w:rsidR="00430678" w:rsidRPr="005354E4">
              <w:rPr>
                <w:rFonts w:cstheme="minorHAnsi"/>
              </w:rPr>
              <w:t xml:space="preserve"> les procédés manipulatoires</w:t>
            </w:r>
            <w:r w:rsidR="00E540A8" w:rsidRPr="005354E4">
              <w:rPr>
                <w:rFonts w:cstheme="minorHAnsi"/>
              </w:rPr>
              <w:t xml:space="preserve"> </w:t>
            </w:r>
            <w:r w:rsidR="00C42BA2" w:rsidRPr="005354E4">
              <w:rPr>
                <w:rFonts w:cstheme="minorHAnsi"/>
              </w:rPr>
              <w:t>auxquels il a pu être confronté</w:t>
            </w:r>
            <w:r w:rsidR="009D7532" w:rsidRPr="005354E4">
              <w:rPr>
                <w:rFonts w:cstheme="minorHAnsi"/>
                <w:b/>
              </w:rPr>
              <w:t>.</w:t>
            </w:r>
          </w:p>
          <w:p w14:paraId="7DDD2B08" w14:textId="77777777" w:rsidR="009E64D5" w:rsidRPr="005354E4" w:rsidRDefault="009E64D5" w:rsidP="00AB3B81">
            <w:pPr>
              <w:jc w:val="both"/>
              <w:rPr>
                <w:rFonts w:cstheme="minorHAnsi"/>
              </w:rPr>
            </w:pPr>
          </w:p>
          <w:p w14:paraId="28C8CDEA" w14:textId="77777777" w:rsidR="009E64D5" w:rsidRPr="003057DD" w:rsidRDefault="0026054C" w:rsidP="009E64D5">
            <w:pPr>
              <w:jc w:val="both"/>
              <w:rPr>
                <w:rFonts w:cstheme="minorHAnsi"/>
                <w:b/>
                <w:iCs/>
              </w:rPr>
            </w:pPr>
            <w:r w:rsidRPr="005354E4">
              <w:rPr>
                <w:rFonts w:cstheme="minorHAnsi"/>
                <w:b/>
                <w:iCs/>
              </w:rPr>
              <w:t>À</w:t>
            </w:r>
            <w:r w:rsidR="009E64D5" w:rsidRPr="005354E4">
              <w:rPr>
                <w:rFonts w:cstheme="minorHAnsi"/>
                <w:b/>
                <w:iCs/>
              </w:rPr>
              <w:t xml:space="preserve"> l’issue de cette</w:t>
            </w:r>
            <w:r w:rsidR="00F77FAB" w:rsidRPr="005354E4">
              <w:rPr>
                <w:rFonts w:cstheme="minorHAnsi"/>
                <w:b/>
                <w:iCs/>
              </w:rPr>
              <w:t xml:space="preserve"> première</w:t>
            </w:r>
            <w:r w:rsidR="009E64D5" w:rsidRPr="005354E4">
              <w:rPr>
                <w:rFonts w:cstheme="minorHAnsi"/>
                <w:b/>
                <w:iCs/>
              </w:rPr>
              <w:t xml:space="preserve"> analyse</w:t>
            </w:r>
            <w:r w:rsidR="009E64D5" w:rsidRPr="003057DD">
              <w:rPr>
                <w:rFonts w:cstheme="minorHAnsi"/>
                <w:b/>
                <w:iCs/>
              </w:rPr>
              <w:t xml:space="preserve"> : </w:t>
            </w:r>
          </w:p>
          <w:p w14:paraId="3A905529" w14:textId="77777777" w:rsidR="009E64D5" w:rsidRPr="003057DD" w:rsidRDefault="009E64D5" w:rsidP="006B62BD">
            <w:pPr>
              <w:pStyle w:val="Paragraphedeliste"/>
              <w:numPr>
                <w:ilvl w:val="0"/>
                <w:numId w:val="41"/>
              </w:numPr>
              <w:spacing w:before="120"/>
              <w:ind w:left="714" w:hanging="357"/>
              <w:contextualSpacing w:val="0"/>
              <w:jc w:val="both"/>
              <w:rPr>
                <w:rFonts w:cstheme="minorHAnsi"/>
                <w:b/>
              </w:rPr>
            </w:pPr>
            <w:r w:rsidRPr="005354E4">
              <w:rPr>
                <w:rFonts w:cstheme="minorHAnsi"/>
                <w:b/>
              </w:rPr>
              <w:t xml:space="preserve">soit le prestataire de services de paiement </w:t>
            </w:r>
            <w:r w:rsidR="00F77FAB" w:rsidRPr="005354E4">
              <w:rPr>
                <w:rFonts w:cstheme="minorHAnsi"/>
                <w:b/>
              </w:rPr>
              <w:t xml:space="preserve">constate que l’opération n’a pas été autorisée ou </w:t>
            </w:r>
            <w:r w:rsidR="003F4DC9">
              <w:rPr>
                <w:rFonts w:cstheme="minorHAnsi"/>
                <w:b/>
              </w:rPr>
              <w:t>a</w:t>
            </w:r>
            <w:r w:rsidRPr="003F4DC9">
              <w:rPr>
                <w:rFonts w:cstheme="minorHAnsi"/>
                <w:b/>
              </w:rPr>
              <w:t xml:space="preserve"> un doute sur</w:t>
            </w:r>
            <w:r w:rsidR="00F55596" w:rsidRPr="003F4DC9">
              <w:rPr>
                <w:rFonts w:cstheme="minorHAnsi"/>
                <w:b/>
              </w:rPr>
              <w:t xml:space="preserve"> le consentement </w:t>
            </w:r>
            <w:r w:rsidRPr="003F4DC9">
              <w:rPr>
                <w:rFonts w:cstheme="minorHAnsi"/>
                <w:b/>
              </w:rPr>
              <w:t>donné à l’opération, auquel cas il procède</w:t>
            </w:r>
            <w:r w:rsidR="00A24753" w:rsidRPr="003F4DC9">
              <w:rPr>
                <w:rFonts w:cstheme="minorHAnsi"/>
                <w:b/>
              </w:rPr>
              <w:t xml:space="preserve"> </w:t>
            </w:r>
            <w:r w:rsidR="00A24753" w:rsidRPr="003057DD">
              <w:rPr>
                <w:rFonts w:cstheme="minorHAnsi"/>
                <w:b/>
              </w:rPr>
              <w:t>sans délai</w:t>
            </w:r>
            <w:r w:rsidR="00A162DE" w:rsidRPr="003057DD">
              <w:rPr>
                <w:rStyle w:val="Appelnotedebasdep"/>
                <w:rFonts w:cstheme="minorHAnsi"/>
                <w:b/>
              </w:rPr>
              <w:footnoteReference w:id="9"/>
            </w:r>
            <w:r w:rsidRPr="003057DD">
              <w:rPr>
                <w:rFonts w:cstheme="minorHAnsi"/>
                <w:b/>
              </w:rPr>
              <w:t xml:space="preserve"> au remboursement de la transaction ; </w:t>
            </w:r>
          </w:p>
          <w:p w14:paraId="4E1FE6DA" w14:textId="77777777" w:rsidR="009E64D5" w:rsidRPr="003057DD" w:rsidRDefault="009E64D5" w:rsidP="006B62BD">
            <w:pPr>
              <w:pStyle w:val="Paragraphedeliste"/>
              <w:numPr>
                <w:ilvl w:val="0"/>
                <w:numId w:val="41"/>
              </w:numPr>
              <w:spacing w:before="120"/>
              <w:ind w:left="714" w:hanging="357"/>
              <w:contextualSpacing w:val="0"/>
              <w:jc w:val="both"/>
              <w:rPr>
                <w:rFonts w:cstheme="minorHAnsi"/>
                <w:b/>
              </w:rPr>
            </w:pPr>
            <w:r w:rsidRPr="003057DD">
              <w:rPr>
                <w:rFonts w:cstheme="minorHAnsi"/>
                <w:b/>
              </w:rPr>
              <w:t xml:space="preserve">soit </w:t>
            </w:r>
            <w:r w:rsidR="00666ECA" w:rsidRPr="003057DD">
              <w:rPr>
                <w:rFonts w:cstheme="minorHAnsi"/>
                <w:b/>
              </w:rPr>
              <w:t>le prestataire de services de paiement</w:t>
            </w:r>
            <w:r w:rsidRPr="003057DD">
              <w:rPr>
                <w:rFonts w:cstheme="minorHAnsi"/>
                <w:b/>
              </w:rPr>
              <w:t xml:space="preserve"> dispose de bonnes raisons</w:t>
            </w:r>
            <w:r w:rsidRPr="005354E4">
              <w:rPr>
                <w:rFonts w:cstheme="minorHAnsi"/>
                <w:b/>
              </w:rPr>
              <w:t xml:space="preserve"> de soupçonner une fraude </w:t>
            </w:r>
            <w:r w:rsidR="00D72D79" w:rsidRPr="005354E4">
              <w:rPr>
                <w:rFonts w:cstheme="minorHAnsi"/>
                <w:b/>
              </w:rPr>
              <w:t>de l’utilisateur</w:t>
            </w:r>
            <w:r w:rsidR="003057DD">
              <w:rPr>
                <w:rStyle w:val="Appelnotedebasdep"/>
                <w:rFonts w:cstheme="minorHAnsi"/>
                <w:b/>
              </w:rPr>
              <w:footnoteReference w:id="10"/>
            </w:r>
            <w:r w:rsidR="00D72D79" w:rsidRPr="003057DD">
              <w:rPr>
                <w:rFonts w:cstheme="minorHAnsi"/>
                <w:b/>
              </w:rPr>
              <w:t xml:space="preserve"> et qu’il communique ses raisons à la Banque de France</w:t>
            </w:r>
            <w:r w:rsidRPr="003057DD">
              <w:rPr>
                <w:rFonts w:cstheme="minorHAnsi"/>
                <w:b/>
              </w:rPr>
              <w:t xml:space="preserve">, auquel cas il peut refuser de rembourser immédiatement </w:t>
            </w:r>
            <w:r w:rsidR="00D72D79" w:rsidRPr="003057DD">
              <w:rPr>
                <w:rFonts w:cstheme="minorHAnsi"/>
                <w:b/>
              </w:rPr>
              <w:t>la transaction dans les conditions prévues à la recommandation n°3 ;</w:t>
            </w:r>
          </w:p>
          <w:p w14:paraId="38E814AF" w14:textId="77777777" w:rsidR="009E64D5" w:rsidRPr="003057DD" w:rsidRDefault="009E64D5" w:rsidP="006B62BD">
            <w:pPr>
              <w:pStyle w:val="Paragraphedeliste"/>
              <w:numPr>
                <w:ilvl w:val="0"/>
                <w:numId w:val="41"/>
              </w:numPr>
              <w:spacing w:before="120"/>
              <w:ind w:left="714" w:hanging="357"/>
              <w:contextualSpacing w:val="0"/>
              <w:jc w:val="both"/>
              <w:rPr>
                <w:rFonts w:cstheme="minorHAnsi"/>
                <w:b/>
              </w:rPr>
            </w:pPr>
            <w:r w:rsidRPr="003057DD">
              <w:rPr>
                <w:rFonts w:cstheme="minorHAnsi"/>
                <w:b/>
              </w:rPr>
              <w:t>soit le prestataire de services de paiement a suffisamment d’éléments de preuves pour considérer que l’opération a été autorisé</w:t>
            </w:r>
            <w:r w:rsidRPr="005354E4">
              <w:rPr>
                <w:rFonts w:cstheme="minorHAnsi"/>
                <w:b/>
              </w:rPr>
              <w:t>e</w:t>
            </w:r>
            <w:r w:rsidRPr="005354E4">
              <w:rPr>
                <w:b/>
              </w:rPr>
              <w:t xml:space="preserve"> par l’utilisateur</w:t>
            </w:r>
            <w:r w:rsidR="003057DD">
              <w:rPr>
                <w:rStyle w:val="Appelnotedebasdep"/>
                <w:b/>
              </w:rPr>
              <w:footnoteReference w:id="11"/>
            </w:r>
            <w:r w:rsidRPr="003057DD">
              <w:rPr>
                <w:rFonts w:cstheme="minorHAnsi"/>
                <w:b/>
              </w:rPr>
              <w:t xml:space="preserve"> </w:t>
            </w:r>
            <w:r w:rsidRPr="003057DD">
              <w:rPr>
                <w:b/>
              </w:rPr>
              <w:t>ou que ce dernier a été gravement négligent</w:t>
            </w:r>
            <w:r w:rsidR="003057DD">
              <w:rPr>
                <w:rStyle w:val="Appelnotedebasdep"/>
                <w:b/>
              </w:rPr>
              <w:footnoteReference w:id="12"/>
            </w:r>
            <w:r w:rsidR="00D72D79" w:rsidRPr="003057DD">
              <w:rPr>
                <w:b/>
              </w:rPr>
              <w:t xml:space="preserve"> ou qu’il n’a pas satisfait intentionnellement à ses obligations</w:t>
            </w:r>
            <w:r w:rsidRPr="003057DD">
              <w:rPr>
                <w:b/>
              </w:rPr>
              <w:t>,</w:t>
            </w:r>
            <w:r w:rsidRPr="003057DD">
              <w:rPr>
                <w:rFonts w:cstheme="minorHAnsi"/>
                <w:b/>
              </w:rPr>
              <w:t xml:space="preserve"> auquel cas il </w:t>
            </w:r>
            <w:r w:rsidR="00C22057" w:rsidRPr="003057DD">
              <w:rPr>
                <w:rFonts w:cstheme="minorHAnsi"/>
                <w:b/>
              </w:rPr>
              <w:t xml:space="preserve">peut </w:t>
            </w:r>
            <w:r w:rsidRPr="003057DD">
              <w:rPr>
                <w:rFonts w:cstheme="minorHAnsi"/>
                <w:b/>
              </w:rPr>
              <w:t>refuse</w:t>
            </w:r>
            <w:r w:rsidR="00C22057" w:rsidRPr="003057DD">
              <w:rPr>
                <w:rFonts w:cstheme="minorHAnsi"/>
                <w:b/>
              </w:rPr>
              <w:t>r</w:t>
            </w:r>
            <w:r w:rsidRPr="003057DD">
              <w:rPr>
                <w:rFonts w:cstheme="minorHAnsi"/>
                <w:b/>
              </w:rPr>
              <w:t xml:space="preserve"> le remboursement de l’opération contestée au client</w:t>
            </w:r>
            <w:r w:rsidR="00472AB9" w:rsidRPr="003057DD">
              <w:rPr>
                <w:rFonts w:cstheme="minorHAnsi"/>
                <w:b/>
              </w:rPr>
              <w:t>,</w:t>
            </w:r>
            <w:r w:rsidR="0026054C" w:rsidRPr="003057DD">
              <w:rPr>
                <w:rFonts w:cstheme="minorHAnsi"/>
                <w:b/>
              </w:rPr>
              <w:t xml:space="preserve"> dans les conditions prévues à la recommandation n°3</w:t>
            </w:r>
            <w:r w:rsidRPr="003057DD">
              <w:rPr>
                <w:rFonts w:cstheme="minorHAnsi"/>
                <w:b/>
              </w:rPr>
              <w:t>.</w:t>
            </w:r>
          </w:p>
          <w:p w14:paraId="3A6E4F19" w14:textId="77777777" w:rsidR="00472AB9" w:rsidRPr="005354E4" w:rsidRDefault="009E64D5" w:rsidP="006C6FDA">
            <w:pPr>
              <w:spacing w:before="120"/>
              <w:jc w:val="both"/>
              <w:rPr>
                <w:rFonts w:cstheme="minorHAnsi"/>
                <w:iCs/>
              </w:rPr>
            </w:pPr>
            <w:r w:rsidRPr="003057DD">
              <w:rPr>
                <w:rFonts w:cstheme="minorHAnsi"/>
                <w:iCs/>
              </w:rPr>
              <w:t xml:space="preserve">Dans les </w:t>
            </w:r>
            <w:r w:rsidR="00D92C26" w:rsidRPr="005354E4">
              <w:rPr>
                <w:rFonts w:cstheme="minorHAnsi"/>
                <w:iCs/>
              </w:rPr>
              <w:t xml:space="preserve">deux </w:t>
            </w:r>
            <w:r w:rsidRPr="005354E4">
              <w:rPr>
                <w:rFonts w:cstheme="minorHAnsi"/>
                <w:iCs/>
              </w:rPr>
              <w:t xml:space="preserve">premiers cas, et </w:t>
            </w:r>
            <w:r w:rsidR="00836E20" w:rsidRPr="005354E4">
              <w:rPr>
                <w:rFonts w:cstheme="minorHAnsi"/>
                <w:iCs/>
              </w:rPr>
              <w:t>à partir notamment</w:t>
            </w:r>
            <w:r w:rsidRPr="005354E4">
              <w:rPr>
                <w:rFonts w:cstheme="minorHAnsi"/>
                <w:iCs/>
              </w:rPr>
              <w:t xml:space="preserve"> des mêmes critères susmentionnés et des éléments </w:t>
            </w:r>
            <w:r w:rsidR="002862D0" w:rsidRPr="005354E4">
              <w:rPr>
                <w:rFonts w:cstheme="minorHAnsi"/>
                <w:iCs/>
              </w:rPr>
              <w:t>nouveaux</w:t>
            </w:r>
            <w:r w:rsidR="00D92C26" w:rsidRPr="005354E4">
              <w:rPr>
                <w:rFonts w:cstheme="minorHAnsi"/>
                <w:iCs/>
              </w:rPr>
              <w:t xml:space="preserve"> qu’a</w:t>
            </w:r>
            <w:r w:rsidR="002862D0" w:rsidRPr="005354E4">
              <w:rPr>
                <w:rFonts w:cstheme="minorHAnsi"/>
                <w:iCs/>
              </w:rPr>
              <w:t>urait</w:t>
            </w:r>
            <w:r w:rsidR="00D92C26" w:rsidRPr="005354E4">
              <w:rPr>
                <w:rFonts w:cstheme="minorHAnsi"/>
                <w:iCs/>
              </w:rPr>
              <w:t xml:space="preserve"> pu </w:t>
            </w:r>
            <w:r w:rsidRPr="005354E4">
              <w:rPr>
                <w:rFonts w:cstheme="minorHAnsi"/>
                <w:iCs/>
              </w:rPr>
              <w:t>rapport</w:t>
            </w:r>
            <w:r w:rsidR="00D92C26" w:rsidRPr="005354E4">
              <w:rPr>
                <w:rFonts w:cstheme="minorHAnsi"/>
                <w:iCs/>
              </w:rPr>
              <w:t>er</w:t>
            </w:r>
            <w:r w:rsidRPr="005354E4">
              <w:rPr>
                <w:rFonts w:cstheme="minorHAnsi"/>
                <w:iCs/>
              </w:rPr>
              <w:t xml:space="preserve"> l’utilisateur, le prestataire de services de paiement est invité à poursuivre</w:t>
            </w:r>
            <w:r w:rsidR="005A702D" w:rsidRPr="005354E4">
              <w:rPr>
                <w:rFonts w:cstheme="minorHAnsi"/>
                <w:iCs/>
              </w:rPr>
              <w:t xml:space="preserve"> </w:t>
            </w:r>
            <w:r w:rsidR="00B4073F" w:rsidRPr="005354E4">
              <w:rPr>
                <w:rFonts w:cstheme="minorHAnsi"/>
                <w:iCs/>
              </w:rPr>
              <w:t xml:space="preserve">si nécessaire </w:t>
            </w:r>
            <w:r w:rsidRPr="005354E4">
              <w:rPr>
                <w:rFonts w:cstheme="minorHAnsi"/>
                <w:iCs/>
              </w:rPr>
              <w:t xml:space="preserve">les investigations dans les conditions prévues aux recommandations </w:t>
            </w:r>
            <w:r w:rsidR="0026054C" w:rsidRPr="005354E4">
              <w:rPr>
                <w:rFonts w:cstheme="minorHAnsi"/>
                <w:iCs/>
              </w:rPr>
              <w:t>n°</w:t>
            </w:r>
            <w:r w:rsidRPr="005354E4">
              <w:rPr>
                <w:rFonts w:cstheme="minorHAnsi"/>
                <w:iCs/>
              </w:rPr>
              <w:t xml:space="preserve"> 1 à 3 en vue de déterminer le droit à remboursement de l’utilisateur.</w:t>
            </w:r>
          </w:p>
          <w:p w14:paraId="34DD3D89" w14:textId="77777777" w:rsidR="009E64D5" w:rsidRPr="005354E4" w:rsidRDefault="009E64D5" w:rsidP="009E64D5">
            <w:pPr>
              <w:jc w:val="both"/>
              <w:rPr>
                <w:rFonts w:cstheme="minorHAnsi"/>
              </w:rPr>
            </w:pPr>
          </w:p>
          <w:p w14:paraId="268E873D" w14:textId="77777777" w:rsidR="00D0297F" w:rsidRPr="005354E4" w:rsidRDefault="00385627" w:rsidP="00B05873">
            <w:pPr>
              <w:ind w:left="10"/>
              <w:jc w:val="both"/>
              <w:rPr>
                <w:rFonts w:eastAsia="Cambria" w:cstheme="minorHAnsi"/>
              </w:rPr>
            </w:pPr>
            <w:r w:rsidRPr="005354E4">
              <w:rPr>
                <w:rFonts w:cstheme="minorHAnsi"/>
                <w:i/>
                <w:color w:val="1F4E79" w:themeColor="accent1" w:themeShade="80"/>
                <w:u w:val="single"/>
              </w:rPr>
              <w:t>Références</w:t>
            </w:r>
            <w:r w:rsidR="00CB4482" w:rsidRPr="005354E4">
              <w:rPr>
                <w:rFonts w:cstheme="minorHAnsi"/>
                <w:i/>
                <w:color w:val="1F4E79" w:themeColor="accent1" w:themeShade="80"/>
                <w:u w:val="single"/>
              </w:rPr>
              <w:t> </w:t>
            </w:r>
            <w:r w:rsidRPr="005354E4">
              <w:rPr>
                <w:rFonts w:cstheme="minorHAnsi"/>
                <w:i/>
                <w:color w:val="1F4E79" w:themeColor="accent1" w:themeShade="80"/>
              </w:rPr>
              <w:t xml:space="preserve">: </w:t>
            </w:r>
            <w:r w:rsidR="00C4675E" w:rsidRPr="005354E4">
              <w:rPr>
                <w:rFonts w:cstheme="minorHAnsi"/>
                <w:i/>
                <w:color w:val="1F4E79" w:themeColor="accent1" w:themeShade="80"/>
              </w:rPr>
              <w:t xml:space="preserve">articles </w:t>
            </w:r>
            <w:r w:rsidRPr="005354E4">
              <w:rPr>
                <w:rFonts w:cstheme="minorHAnsi"/>
                <w:i/>
                <w:color w:val="1F4E79" w:themeColor="accent1" w:themeShade="80"/>
              </w:rPr>
              <w:t>L133-18, L133-19 et L133-23 du CMF</w:t>
            </w:r>
          </w:p>
        </w:tc>
      </w:tr>
    </w:tbl>
    <w:p w14:paraId="6C17F047" w14:textId="77777777" w:rsidR="008701CA" w:rsidRPr="005354E4" w:rsidRDefault="00C162CA" w:rsidP="00944484">
      <w:pPr>
        <w:pStyle w:val="Titre1"/>
        <w:numPr>
          <w:ilvl w:val="0"/>
          <w:numId w:val="8"/>
        </w:numPr>
        <w:pBdr>
          <w:top w:val="single" w:sz="4" w:space="1" w:color="000099"/>
          <w:bottom w:val="single" w:sz="4" w:space="1" w:color="000099"/>
        </w:pBdr>
        <w:jc w:val="both"/>
        <w:rPr>
          <w:rFonts w:asciiTheme="minorHAnsi" w:hAnsiTheme="minorHAnsi" w:cstheme="minorHAnsi"/>
          <w:b w:val="0"/>
          <w:smallCaps/>
          <w:color w:val="000099"/>
          <w:sz w:val="28"/>
        </w:rPr>
      </w:pPr>
      <w:r w:rsidRPr="005354E4">
        <w:rPr>
          <w:rFonts w:asciiTheme="minorHAnsi" w:hAnsiTheme="minorHAnsi" w:cstheme="minorHAnsi"/>
          <w:b w:val="0"/>
          <w:smallCaps/>
          <w:color w:val="000099"/>
          <w:sz w:val="28"/>
        </w:rPr>
        <w:t>Recommandations à l’attention des consommateurs et de leurs représentants</w:t>
      </w:r>
    </w:p>
    <w:p w14:paraId="6D69B785" w14:textId="77777777" w:rsidR="00CA4319" w:rsidRPr="005354E4" w:rsidRDefault="00CA4319" w:rsidP="00373761">
      <w:pPr>
        <w:pStyle w:val="Paragraphedeliste"/>
        <w:spacing w:after="0"/>
        <w:jc w:val="both"/>
        <w:rPr>
          <w:rFonts w:eastAsia="Times New Roman" w:cstheme="minorHAnsi"/>
          <w:b/>
          <w:bCs/>
          <w:smallCaps/>
          <w:sz w:val="28"/>
          <w:szCs w:val="32"/>
        </w:rPr>
      </w:pPr>
    </w:p>
    <w:p w14:paraId="0BB26088" w14:textId="77777777" w:rsidR="00637B1E" w:rsidRPr="005354E4" w:rsidRDefault="004466AC" w:rsidP="00C162CA">
      <w:pPr>
        <w:jc w:val="both"/>
        <w:rPr>
          <w:rFonts w:eastAsia="Cambria" w:cstheme="minorHAnsi"/>
          <w:b/>
        </w:rPr>
      </w:pPr>
      <w:r w:rsidRPr="005354E4">
        <w:rPr>
          <w:rFonts w:eastAsia="Cambria" w:cstheme="minorHAnsi"/>
          <w:b/>
        </w:rPr>
        <w:t xml:space="preserve">5.1 </w:t>
      </w:r>
      <w:r w:rsidR="00637B1E" w:rsidRPr="005354E4">
        <w:rPr>
          <w:rFonts w:eastAsia="Cambria" w:cstheme="minorHAnsi"/>
          <w:b/>
        </w:rPr>
        <w:t xml:space="preserve">Bonnes pratiques </w:t>
      </w:r>
      <w:r w:rsidRPr="005354E4">
        <w:rPr>
          <w:rFonts w:eastAsia="Cambria" w:cstheme="minorHAnsi"/>
          <w:b/>
        </w:rPr>
        <w:t>pour la sécurité des moyens de paiement</w:t>
      </w:r>
    </w:p>
    <w:p w14:paraId="552DF495" w14:textId="77777777" w:rsidR="00F414AB" w:rsidRPr="005354E4" w:rsidRDefault="004466AC" w:rsidP="004466AC">
      <w:pPr>
        <w:jc w:val="both"/>
        <w:rPr>
          <w:rFonts w:cstheme="minorHAnsi"/>
        </w:rPr>
      </w:pPr>
      <w:r w:rsidRPr="005354E4">
        <w:rPr>
          <w:rFonts w:cstheme="minorHAnsi"/>
        </w:rPr>
        <w:t>Face à l’ingéniosité des fraudeurs qui cherchent des moyens de contournement face à des dispositifs de sécurité de plus en plus sophistiqués, les consommateurs ont, par leur comportement vigilant et responsable, un rôle clé pour préserver la sécurité de le</w:t>
      </w:r>
      <w:r w:rsidR="00F414AB" w:rsidRPr="005354E4">
        <w:rPr>
          <w:rFonts w:cstheme="minorHAnsi"/>
        </w:rPr>
        <w:t>urs propres moyens de paiement.</w:t>
      </w:r>
    </w:p>
    <w:p w14:paraId="5F0CD44A" w14:textId="77777777" w:rsidR="00637B1E" w:rsidRPr="005354E4" w:rsidRDefault="004466AC" w:rsidP="004466AC">
      <w:pPr>
        <w:jc w:val="both"/>
        <w:rPr>
          <w:rFonts w:cstheme="minorHAnsi"/>
        </w:rPr>
      </w:pPr>
      <w:r w:rsidRPr="005354E4">
        <w:rPr>
          <w:rFonts w:cstheme="minorHAnsi"/>
        </w:rPr>
        <w:t xml:space="preserve">En particulier en ce qui concerne leurs usages sur internet, il leur revient </w:t>
      </w:r>
      <w:r w:rsidR="004F3D73" w:rsidRPr="005354E4">
        <w:rPr>
          <w:rFonts w:cstheme="minorHAnsi"/>
        </w:rPr>
        <w:t>de veiller à</w:t>
      </w:r>
      <w:r w:rsidRPr="005354E4">
        <w:rPr>
          <w:rFonts w:cstheme="minorHAnsi"/>
        </w:rPr>
        <w:t xml:space="preserve"> la sécurité des données associées à leurs moyens de paiement en évitant leur divulgation à des tiers, </w:t>
      </w:r>
      <w:r w:rsidR="004F39A4" w:rsidRPr="005354E4">
        <w:rPr>
          <w:rFonts w:cstheme="minorHAnsi"/>
        </w:rPr>
        <w:t xml:space="preserve">ce </w:t>
      </w:r>
      <w:r w:rsidRPr="005354E4">
        <w:rPr>
          <w:rFonts w:cstheme="minorHAnsi"/>
        </w:rPr>
        <w:t>qui est susceptible de permettre</w:t>
      </w:r>
      <w:r w:rsidR="004F39A4" w:rsidRPr="005354E4">
        <w:rPr>
          <w:rFonts w:cstheme="minorHAnsi"/>
        </w:rPr>
        <w:t xml:space="preserve"> la </w:t>
      </w:r>
      <w:r w:rsidRPr="005354E4">
        <w:rPr>
          <w:rFonts w:cstheme="minorHAnsi"/>
        </w:rPr>
        <w:t>réalisation d’attaques frauduleuses.</w:t>
      </w:r>
      <w:r w:rsidR="00F414AB" w:rsidRPr="005354E4">
        <w:rPr>
          <w:rFonts w:cstheme="minorHAnsi"/>
        </w:rPr>
        <w:t xml:space="preserve"> En effet, ces données sont tout aussi sensibles que ne l’est le code confidentiel de leur carte de paiement, et le non-respect de ces bonnes pratiques peut être un facteur pris en compte dans la caractérisation d’une négligence de l’utilisateur.</w:t>
      </w:r>
    </w:p>
    <w:tbl>
      <w:tblPr>
        <w:tblStyle w:val="Grilledutableau"/>
        <w:tblW w:w="0" w:type="auto"/>
        <w:tblBorders>
          <w:top w:val="triple" w:sz="6" w:space="0" w:color="0070C0"/>
          <w:left w:val="triple" w:sz="6" w:space="0" w:color="0070C0"/>
          <w:bottom w:val="triple" w:sz="6" w:space="0" w:color="0070C0"/>
          <w:right w:val="triple" w:sz="6" w:space="0" w:color="0070C0"/>
          <w:insideH w:val="triple" w:sz="6" w:space="0" w:color="0070C0"/>
          <w:insideV w:val="triple" w:sz="6" w:space="0" w:color="0070C0"/>
        </w:tblBorders>
        <w:tblLook w:val="04A0" w:firstRow="1" w:lastRow="0" w:firstColumn="1" w:lastColumn="0" w:noHBand="0" w:noVBand="1"/>
      </w:tblPr>
      <w:tblGrid>
        <w:gridCol w:w="8994"/>
      </w:tblGrid>
      <w:tr w:rsidR="004466AC" w:rsidRPr="005354E4" w14:paraId="2CC67A91" w14:textId="77777777" w:rsidTr="00806743">
        <w:trPr>
          <w:trHeight w:val="628"/>
        </w:trPr>
        <w:tc>
          <w:tcPr>
            <w:tcW w:w="8994" w:type="dxa"/>
          </w:tcPr>
          <w:p w14:paraId="0A3904C3" w14:textId="77777777" w:rsidR="004466AC" w:rsidRPr="005354E4" w:rsidRDefault="004466AC" w:rsidP="00D40DD0">
            <w:pPr>
              <w:ind w:left="10"/>
              <w:jc w:val="both"/>
              <w:rPr>
                <w:rFonts w:cstheme="minorHAnsi"/>
              </w:rPr>
            </w:pPr>
            <w:r w:rsidRPr="005354E4">
              <w:rPr>
                <w:rFonts w:cstheme="minorHAnsi"/>
                <w:b/>
                <w:color w:val="000099"/>
              </w:rPr>
              <w:t>Recommandation n°</w:t>
            </w:r>
            <w:r w:rsidR="004F3D73" w:rsidRPr="005354E4">
              <w:rPr>
                <w:rFonts w:cstheme="minorHAnsi"/>
                <w:b/>
                <w:color w:val="000099"/>
              </w:rPr>
              <w:t> </w:t>
            </w:r>
            <w:r w:rsidRPr="005354E4">
              <w:rPr>
                <w:rFonts w:cstheme="minorHAnsi"/>
                <w:b/>
                <w:color w:val="000099"/>
              </w:rPr>
              <w:t>7: bonnes pratiques pour la sécurité des moyens de paiement</w:t>
            </w:r>
          </w:p>
          <w:p w14:paraId="48785334" w14:textId="77777777" w:rsidR="004466AC" w:rsidRPr="005354E4" w:rsidRDefault="004466AC" w:rsidP="00D40DD0">
            <w:pPr>
              <w:jc w:val="both"/>
              <w:rPr>
                <w:rFonts w:cstheme="minorHAnsi"/>
              </w:rPr>
            </w:pPr>
          </w:p>
          <w:p w14:paraId="4B1CCBBB" w14:textId="77777777" w:rsidR="004466AC" w:rsidRPr="005354E4" w:rsidRDefault="004466AC" w:rsidP="004466AC">
            <w:pPr>
              <w:jc w:val="both"/>
              <w:rPr>
                <w:rFonts w:cstheme="minorHAnsi"/>
                <w:b/>
              </w:rPr>
            </w:pPr>
            <w:r w:rsidRPr="005354E4">
              <w:rPr>
                <w:rFonts w:cstheme="minorHAnsi"/>
                <w:b/>
              </w:rPr>
              <w:t xml:space="preserve">Les consommateurs doivent s’efforcer </w:t>
            </w:r>
            <w:r w:rsidR="00C4165C" w:rsidRPr="005354E4">
              <w:rPr>
                <w:rFonts w:cstheme="minorHAnsi"/>
                <w:b/>
              </w:rPr>
              <w:t>de rester vigilants</w:t>
            </w:r>
            <w:r w:rsidRPr="005354E4">
              <w:rPr>
                <w:rFonts w:cstheme="minorHAnsi"/>
                <w:b/>
              </w:rPr>
              <w:t xml:space="preserve"> quant à la préservation de la sécurité </w:t>
            </w:r>
            <w:r w:rsidR="009D7532" w:rsidRPr="005354E4">
              <w:rPr>
                <w:rFonts w:cstheme="minorHAnsi"/>
                <w:b/>
              </w:rPr>
              <w:t>des données de sécurité associées à un instrument de paiement</w:t>
            </w:r>
            <w:r w:rsidRPr="005354E4">
              <w:rPr>
                <w:rFonts w:cstheme="minorHAnsi"/>
                <w:b/>
              </w:rPr>
              <w:t xml:space="preserve"> (</w:t>
            </w:r>
            <w:r w:rsidR="009D7532" w:rsidRPr="005354E4">
              <w:rPr>
                <w:rFonts w:cstheme="minorHAnsi"/>
                <w:b/>
              </w:rPr>
              <w:t>mot de passe,</w:t>
            </w:r>
            <w:r w:rsidRPr="005354E4">
              <w:rPr>
                <w:rFonts w:cstheme="minorHAnsi"/>
                <w:b/>
              </w:rPr>
              <w:t xml:space="preserve"> code confidentiel</w:t>
            </w:r>
            <w:r w:rsidR="00810A30" w:rsidRPr="005354E4">
              <w:rPr>
                <w:rFonts w:cstheme="minorHAnsi"/>
                <w:b/>
              </w:rPr>
              <w:t>, cryptogramme</w:t>
            </w:r>
            <w:r w:rsidRPr="005354E4">
              <w:rPr>
                <w:rFonts w:cstheme="minorHAnsi"/>
                <w:b/>
              </w:rPr>
              <w:t>…), en respectant les bonnes pratiques en la matière :</w:t>
            </w:r>
          </w:p>
          <w:p w14:paraId="2AC0969B" w14:textId="77777777" w:rsidR="004466AC" w:rsidRPr="005354E4" w:rsidRDefault="004F3D73" w:rsidP="00EF323F">
            <w:pPr>
              <w:pStyle w:val="Paragraphedeliste"/>
              <w:numPr>
                <w:ilvl w:val="0"/>
                <w:numId w:val="51"/>
              </w:numPr>
              <w:spacing w:before="120"/>
              <w:contextualSpacing w:val="0"/>
              <w:jc w:val="both"/>
              <w:rPr>
                <w:rFonts w:cstheme="minorHAnsi"/>
                <w:b/>
              </w:rPr>
            </w:pPr>
            <w:r w:rsidRPr="005354E4">
              <w:rPr>
                <w:rFonts w:cstheme="minorHAnsi"/>
                <w:b/>
              </w:rPr>
              <w:t>n</w:t>
            </w:r>
            <w:r w:rsidR="004466AC" w:rsidRPr="005354E4">
              <w:rPr>
                <w:rFonts w:cstheme="minorHAnsi"/>
                <w:b/>
              </w:rPr>
              <w:t xml:space="preserve">e jamais communiquer </w:t>
            </w:r>
            <w:r w:rsidR="009D7532" w:rsidRPr="005354E4">
              <w:rPr>
                <w:rFonts w:cstheme="minorHAnsi"/>
                <w:b/>
              </w:rPr>
              <w:t>c</w:t>
            </w:r>
            <w:r w:rsidRPr="005354E4">
              <w:rPr>
                <w:rFonts w:cstheme="minorHAnsi"/>
                <w:b/>
              </w:rPr>
              <w:t xml:space="preserve">es données </w:t>
            </w:r>
            <w:r w:rsidR="00C4165C" w:rsidRPr="005354E4">
              <w:rPr>
                <w:rFonts w:cstheme="minorHAnsi"/>
                <w:b/>
              </w:rPr>
              <w:t>à un tiers ;</w:t>
            </w:r>
          </w:p>
          <w:p w14:paraId="395E91B3" w14:textId="77777777" w:rsidR="004466AC" w:rsidRPr="005354E4" w:rsidRDefault="004F3D73" w:rsidP="00EF323F">
            <w:pPr>
              <w:pStyle w:val="Paragraphedeliste"/>
              <w:numPr>
                <w:ilvl w:val="0"/>
                <w:numId w:val="51"/>
              </w:numPr>
              <w:spacing w:before="120"/>
              <w:contextualSpacing w:val="0"/>
              <w:jc w:val="both"/>
              <w:rPr>
                <w:rFonts w:cstheme="minorHAnsi"/>
                <w:b/>
              </w:rPr>
            </w:pPr>
            <w:r w:rsidRPr="005354E4">
              <w:rPr>
                <w:rFonts w:cstheme="minorHAnsi"/>
                <w:b/>
              </w:rPr>
              <w:t>n</w:t>
            </w:r>
            <w:r w:rsidR="004466AC" w:rsidRPr="005354E4">
              <w:rPr>
                <w:rFonts w:cstheme="minorHAnsi"/>
                <w:b/>
              </w:rPr>
              <w:t xml:space="preserve">e pas </w:t>
            </w:r>
            <w:r w:rsidRPr="005354E4">
              <w:rPr>
                <w:rFonts w:cstheme="minorHAnsi"/>
                <w:b/>
              </w:rPr>
              <w:t>conserver</w:t>
            </w:r>
            <w:r w:rsidR="004466AC" w:rsidRPr="005354E4">
              <w:rPr>
                <w:rFonts w:cstheme="minorHAnsi"/>
                <w:b/>
              </w:rPr>
              <w:t xml:space="preserve"> </w:t>
            </w:r>
            <w:r w:rsidR="009D7532" w:rsidRPr="005354E4">
              <w:rPr>
                <w:rFonts w:cstheme="minorHAnsi"/>
                <w:b/>
              </w:rPr>
              <w:t>c</w:t>
            </w:r>
            <w:r w:rsidRPr="005354E4">
              <w:rPr>
                <w:rFonts w:cstheme="minorHAnsi"/>
                <w:b/>
              </w:rPr>
              <w:t>es données de sécurité sur</w:t>
            </w:r>
            <w:r w:rsidR="004466AC" w:rsidRPr="005354E4">
              <w:rPr>
                <w:rFonts w:cstheme="minorHAnsi"/>
                <w:b/>
              </w:rPr>
              <w:t xml:space="preserve"> quelque support que ce soit, physique (carnet, </w:t>
            </w:r>
            <w:r w:rsidR="004466AC" w:rsidRPr="005354E4">
              <w:rPr>
                <w:rFonts w:cstheme="minorHAnsi"/>
                <w:b/>
                <w:i/>
              </w:rPr>
              <w:t>post-it</w:t>
            </w:r>
            <w:r w:rsidR="004466AC" w:rsidRPr="005354E4">
              <w:rPr>
                <w:rFonts w:cstheme="minorHAnsi"/>
                <w:b/>
              </w:rPr>
              <w:t>…) ou informatique (</w:t>
            </w:r>
            <w:r w:rsidRPr="005354E4">
              <w:rPr>
                <w:rFonts w:cstheme="minorHAnsi"/>
                <w:b/>
              </w:rPr>
              <w:t>messagerie électronique</w:t>
            </w:r>
            <w:r w:rsidR="004466AC" w:rsidRPr="005354E4">
              <w:rPr>
                <w:rFonts w:cstheme="minorHAnsi"/>
                <w:b/>
              </w:rPr>
              <w:t>, disque dur, portable…)</w:t>
            </w:r>
            <w:r w:rsidRPr="005354E4">
              <w:rPr>
                <w:rFonts w:cstheme="minorHAnsi"/>
                <w:b/>
              </w:rPr>
              <w:t> ;</w:t>
            </w:r>
          </w:p>
          <w:p w14:paraId="7C084E40" w14:textId="77777777" w:rsidR="004466AC" w:rsidRPr="005354E4" w:rsidRDefault="004F3D73" w:rsidP="00EF323F">
            <w:pPr>
              <w:pStyle w:val="Paragraphedeliste"/>
              <w:numPr>
                <w:ilvl w:val="0"/>
                <w:numId w:val="51"/>
              </w:numPr>
              <w:spacing w:before="120"/>
              <w:contextualSpacing w:val="0"/>
              <w:jc w:val="both"/>
              <w:rPr>
                <w:rFonts w:cstheme="minorHAnsi"/>
                <w:b/>
              </w:rPr>
            </w:pPr>
            <w:r w:rsidRPr="005354E4">
              <w:rPr>
                <w:rFonts w:cstheme="minorHAnsi"/>
                <w:b/>
              </w:rPr>
              <w:t>n</w:t>
            </w:r>
            <w:r w:rsidR="004466AC" w:rsidRPr="005354E4">
              <w:rPr>
                <w:rFonts w:cstheme="minorHAnsi"/>
                <w:b/>
              </w:rPr>
              <w:t xml:space="preserve">e pas répondre aux sollicitations </w:t>
            </w:r>
            <w:r w:rsidRPr="005354E4">
              <w:rPr>
                <w:rFonts w:cstheme="minorHAnsi"/>
                <w:b/>
              </w:rPr>
              <w:t>de personnes se présentant comme</w:t>
            </w:r>
            <w:r w:rsidR="004466AC" w:rsidRPr="005354E4">
              <w:rPr>
                <w:rFonts w:cstheme="minorHAnsi"/>
                <w:b/>
              </w:rPr>
              <w:t xml:space="preserve"> des </w:t>
            </w:r>
            <w:r w:rsidRPr="005354E4">
              <w:rPr>
                <w:rFonts w:cstheme="minorHAnsi"/>
                <w:b/>
              </w:rPr>
              <w:t>collaborateurs des prestataires de services de paiement</w:t>
            </w:r>
            <w:r w:rsidR="009D7532" w:rsidRPr="005354E4">
              <w:rPr>
                <w:rFonts w:cstheme="minorHAnsi"/>
                <w:b/>
              </w:rPr>
              <w:t xml:space="preserve"> (conseillers bancaires, service de lutte contre la fraude…)</w:t>
            </w:r>
            <w:r w:rsidR="004466AC" w:rsidRPr="005354E4">
              <w:rPr>
                <w:rFonts w:cstheme="minorHAnsi"/>
                <w:b/>
              </w:rPr>
              <w:t xml:space="preserve">. Toujours utiliser un canal sécurisé et connu pour </w:t>
            </w:r>
            <w:r w:rsidRPr="005354E4">
              <w:rPr>
                <w:rFonts w:cstheme="minorHAnsi"/>
                <w:b/>
              </w:rPr>
              <w:t>établir un contact avec son prestataire de services de paiement</w:t>
            </w:r>
            <w:r w:rsidR="004466AC" w:rsidRPr="005354E4">
              <w:rPr>
                <w:rFonts w:cstheme="minorHAnsi"/>
                <w:b/>
              </w:rPr>
              <w:t xml:space="preserve">. Ne jamais </w:t>
            </w:r>
            <w:r w:rsidRPr="005354E4">
              <w:rPr>
                <w:rFonts w:cstheme="minorHAnsi"/>
                <w:b/>
              </w:rPr>
              <w:t>ouvrir</w:t>
            </w:r>
            <w:r w:rsidR="004466AC" w:rsidRPr="005354E4">
              <w:rPr>
                <w:rFonts w:cstheme="minorHAnsi"/>
                <w:b/>
              </w:rPr>
              <w:t xml:space="preserve"> un lien reçu par </w:t>
            </w:r>
            <w:r w:rsidRPr="005354E4">
              <w:rPr>
                <w:rFonts w:cstheme="minorHAnsi"/>
                <w:b/>
              </w:rPr>
              <w:t>messagerie électronique</w:t>
            </w:r>
            <w:r w:rsidR="004466AC" w:rsidRPr="005354E4">
              <w:rPr>
                <w:rFonts w:cstheme="minorHAnsi"/>
                <w:b/>
              </w:rPr>
              <w:t xml:space="preserve"> ou SMS dont l’origine n’est pas sûre</w:t>
            </w:r>
            <w:r w:rsidR="009D7532" w:rsidRPr="005354E4">
              <w:rPr>
                <w:rFonts w:cstheme="minorHAnsi"/>
                <w:b/>
              </w:rPr>
              <w:t> ;</w:t>
            </w:r>
          </w:p>
          <w:p w14:paraId="65AEDF5D" w14:textId="77777777" w:rsidR="00E64C7A" w:rsidRPr="005354E4" w:rsidRDefault="004F3D73" w:rsidP="00EF323F">
            <w:pPr>
              <w:pStyle w:val="Paragraphedeliste"/>
              <w:numPr>
                <w:ilvl w:val="0"/>
                <w:numId w:val="51"/>
              </w:numPr>
              <w:spacing w:before="120"/>
              <w:contextualSpacing w:val="0"/>
              <w:jc w:val="both"/>
              <w:rPr>
                <w:rFonts w:eastAsia="Cambria" w:cstheme="minorHAnsi"/>
              </w:rPr>
            </w:pPr>
            <w:r w:rsidRPr="005354E4">
              <w:rPr>
                <w:rFonts w:cstheme="minorHAnsi"/>
                <w:b/>
              </w:rPr>
              <w:t>n</w:t>
            </w:r>
            <w:r w:rsidR="004466AC" w:rsidRPr="005354E4">
              <w:rPr>
                <w:rFonts w:cstheme="minorHAnsi"/>
                <w:b/>
              </w:rPr>
              <w:t xml:space="preserve">e jamais confier son </w:t>
            </w:r>
            <w:r w:rsidRPr="005354E4">
              <w:rPr>
                <w:rFonts w:cstheme="minorHAnsi"/>
                <w:b/>
              </w:rPr>
              <w:t>instrument</w:t>
            </w:r>
            <w:r w:rsidR="004466AC" w:rsidRPr="005354E4">
              <w:rPr>
                <w:rFonts w:cstheme="minorHAnsi"/>
                <w:b/>
              </w:rPr>
              <w:t xml:space="preserve"> de paiement à une tierce personne (proche, coursier...)</w:t>
            </w:r>
            <w:r w:rsidR="00E64C7A" w:rsidRPr="005354E4">
              <w:rPr>
                <w:rFonts w:cstheme="minorHAnsi"/>
                <w:b/>
              </w:rPr>
              <w:t> :</w:t>
            </w:r>
          </w:p>
          <w:p w14:paraId="00BBE534" w14:textId="77777777" w:rsidR="004466AC" w:rsidRPr="005354E4" w:rsidRDefault="00E64C7A" w:rsidP="00EF323F">
            <w:pPr>
              <w:pStyle w:val="Paragraphedeliste"/>
              <w:numPr>
                <w:ilvl w:val="0"/>
                <w:numId w:val="51"/>
              </w:numPr>
              <w:spacing w:before="120"/>
              <w:contextualSpacing w:val="0"/>
              <w:jc w:val="both"/>
              <w:rPr>
                <w:rFonts w:eastAsia="Cambria" w:cstheme="minorHAnsi"/>
              </w:rPr>
            </w:pPr>
            <w:r w:rsidRPr="005354E4">
              <w:rPr>
                <w:rFonts w:cstheme="minorHAnsi"/>
                <w:b/>
              </w:rPr>
              <w:t xml:space="preserve">être attentif aux communications de son prestataire de services de paiement </w:t>
            </w:r>
            <w:r w:rsidR="00F414AB" w:rsidRPr="005354E4">
              <w:rPr>
                <w:rFonts w:cstheme="minorHAnsi"/>
                <w:b/>
              </w:rPr>
              <w:t xml:space="preserve">et des autorités </w:t>
            </w:r>
            <w:r w:rsidRPr="005354E4">
              <w:rPr>
                <w:rFonts w:cstheme="minorHAnsi"/>
                <w:b/>
              </w:rPr>
              <w:t>en matière de sécurité</w:t>
            </w:r>
            <w:r w:rsidR="004466AC" w:rsidRPr="005354E4">
              <w:rPr>
                <w:rFonts w:cstheme="minorHAnsi"/>
                <w:b/>
              </w:rPr>
              <w:t xml:space="preserve">. </w:t>
            </w:r>
          </w:p>
          <w:p w14:paraId="4354BD61" w14:textId="77777777" w:rsidR="00C4165C" w:rsidRPr="005354E4" w:rsidRDefault="00C4165C" w:rsidP="00C4165C">
            <w:pPr>
              <w:spacing w:before="120"/>
              <w:jc w:val="both"/>
              <w:rPr>
                <w:rFonts w:cstheme="minorHAnsi"/>
                <w:b/>
              </w:rPr>
            </w:pPr>
            <w:r w:rsidRPr="005354E4">
              <w:rPr>
                <w:rFonts w:cstheme="minorHAnsi"/>
                <w:b/>
              </w:rPr>
              <w:t>Il est rappelé que le personnel du prestataire de services de paiement ne sera jamais amené à demander ces informations en cas d’appel de son client et n’en a pas besoin pour annuler une opération frauduleuse.</w:t>
            </w:r>
          </w:p>
          <w:p w14:paraId="24F202A4" w14:textId="77777777" w:rsidR="00497821" w:rsidRPr="005354E4" w:rsidRDefault="004466AC" w:rsidP="003F532A">
            <w:pPr>
              <w:spacing w:before="120"/>
              <w:jc w:val="both"/>
              <w:rPr>
                <w:rFonts w:eastAsia="Cambria" w:cstheme="minorHAnsi"/>
                <w:b/>
              </w:rPr>
            </w:pPr>
            <w:r w:rsidRPr="005354E4">
              <w:rPr>
                <w:rFonts w:eastAsia="Cambria" w:cstheme="minorHAnsi"/>
                <w:b/>
              </w:rPr>
              <w:t xml:space="preserve">En outre, les consommateurs sont invités à privilégier </w:t>
            </w:r>
            <w:r w:rsidR="000B2267" w:rsidRPr="005354E4">
              <w:rPr>
                <w:rFonts w:eastAsia="Cambria" w:cstheme="minorHAnsi"/>
                <w:b/>
              </w:rPr>
              <w:t>la</w:t>
            </w:r>
            <w:r w:rsidRPr="005354E4">
              <w:rPr>
                <w:rFonts w:eastAsia="Cambria" w:cstheme="minorHAnsi"/>
                <w:b/>
              </w:rPr>
              <w:t xml:space="preserve"> solution d’authentification </w:t>
            </w:r>
            <w:r w:rsidR="000B2267" w:rsidRPr="005354E4">
              <w:rPr>
                <w:rFonts w:eastAsia="Cambria" w:cstheme="minorHAnsi"/>
                <w:b/>
              </w:rPr>
              <w:t>la</w:t>
            </w:r>
            <w:r w:rsidRPr="005354E4">
              <w:rPr>
                <w:rFonts w:eastAsia="Cambria" w:cstheme="minorHAnsi"/>
                <w:b/>
              </w:rPr>
              <w:t xml:space="preserve"> plus s</w:t>
            </w:r>
            <w:r w:rsidR="00ED4555" w:rsidRPr="005354E4">
              <w:rPr>
                <w:rFonts w:eastAsia="Cambria" w:cstheme="minorHAnsi"/>
                <w:b/>
              </w:rPr>
              <w:t>û</w:t>
            </w:r>
            <w:r w:rsidRPr="005354E4">
              <w:rPr>
                <w:rFonts w:eastAsia="Cambria" w:cstheme="minorHAnsi"/>
                <w:b/>
              </w:rPr>
              <w:t xml:space="preserve">re proposée par leur </w:t>
            </w:r>
            <w:r w:rsidR="000B2267" w:rsidRPr="005354E4">
              <w:rPr>
                <w:rFonts w:eastAsia="Cambria" w:cstheme="minorHAnsi"/>
                <w:b/>
              </w:rPr>
              <w:t>prestataire de services de paiement</w:t>
            </w:r>
            <w:r w:rsidRPr="005354E4">
              <w:rPr>
                <w:rFonts w:eastAsia="Cambria" w:cstheme="minorHAnsi"/>
                <w:b/>
              </w:rPr>
              <w:t>, dès lors qu’ils sont en capacité de l’utiliser.</w:t>
            </w:r>
            <w:r w:rsidR="00ED4555" w:rsidRPr="005354E4">
              <w:rPr>
                <w:rFonts w:eastAsia="Cambria" w:cstheme="minorHAnsi"/>
                <w:b/>
              </w:rPr>
              <w:t xml:space="preserve"> Il s’agit généralement des solutions reposant sur un élément matériel robuste comme l’application bancaire sur un </w:t>
            </w:r>
            <w:r w:rsidR="00ED4555" w:rsidRPr="005354E4">
              <w:rPr>
                <w:rFonts w:eastAsia="Cambria" w:cstheme="minorHAnsi"/>
                <w:b/>
                <w:i/>
              </w:rPr>
              <w:t>smartphone</w:t>
            </w:r>
            <w:r w:rsidR="00ED4555" w:rsidRPr="005354E4">
              <w:rPr>
                <w:rFonts w:eastAsia="Cambria" w:cstheme="minorHAnsi"/>
                <w:b/>
              </w:rPr>
              <w:t xml:space="preserve"> (solution majoritaire en France) ou </w:t>
            </w:r>
            <w:r w:rsidR="00810A30" w:rsidRPr="005354E4">
              <w:rPr>
                <w:rFonts w:eastAsia="Cambria" w:cstheme="minorHAnsi"/>
                <w:b/>
              </w:rPr>
              <w:t>un</w:t>
            </w:r>
            <w:r w:rsidR="00ED4555" w:rsidRPr="005354E4">
              <w:rPr>
                <w:rFonts w:eastAsia="Cambria" w:cstheme="minorHAnsi"/>
                <w:b/>
              </w:rPr>
              <w:t xml:space="preserve"> </w:t>
            </w:r>
            <w:r w:rsidR="00E71D39" w:rsidRPr="005354E4">
              <w:rPr>
                <w:rFonts w:eastAsia="Cambria" w:cstheme="minorHAnsi"/>
                <w:b/>
              </w:rPr>
              <w:t>dispositif physique autonome</w:t>
            </w:r>
            <w:r w:rsidR="00810A30" w:rsidRPr="005354E4">
              <w:rPr>
                <w:rFonts w:eastAsia="Cambria" w:cstheme="minorHAnsi"/>
                <w:b/>
              </w:rPr>
              <w:t xml:space="preserve"> mis à disposition par le prestataire de services de paiement (lecteur de carte, clef USB</w:t>
            </w:r>
            <w:r w:rsidR="00E71D39" w:rsidRPr="005354E4">
              <w:rPr>
                <w:rFonts w:eastAsia="Cambria" w:cstheme="minorHAnsi"/>
                <w:b/>
              </w:rPr>
              <w:t>…)</w:t>
            </w:r>
            <w:r w:rsidR="00ED4555" w:rsidRPr="005354E4">
              <w:rPr>
                <w:rFonts w:eastAsia="Cambria" w:cstheme="minorHAnsi"/>
                <w:b/>
              </w:rPr>
              <w:t>.</w:t>
            </w:r>
          </w:p>
          <w:p w14:paraId="735C08B2" w14:textId="77777777" w:rsidR="004466AC" w:rsidRPr="005354E4" w:rsidRDefault="00497821" w:rsidP="00930172">
            <w:pPr>
              <w:spacing w:before="120"/>
              <w:jc w:val="both"/>
              <w:rPr>
                <w:rFonts w:eastAsia="Cambria" w:cstheme="minorHAnsi"/>
                <w:b/>
              </w:rPr>
            </w:pPr>
            <w:r w:rsidRPr="005354E4">
              <w:rPr>
                <w:rFonts w:cstheme="minorHAnsi"/>
                <w:i/>
                <w:color w:val="1F4E79" w:themeColor="accent1" w:themeShade="80"/>
                <w:u w:val="single"/>
              </w:rPr>
              <w:t xml:space="preserve"> Références </w:t>
            </w:r>
            <w:r w:rsidRPr="005354E4">
              <w:rPr>
                <w:rFonts w:cstheme="minorHAnsi"/>
                <w:i/>
                <w:color w:val="1F4E79" w:themeColor="accent1" w:themeShade="80"/>
              </w:rPr>
              <w:t>: article L133-16 du CMF</w:t>
            </w:r>
          </w:p>
        </w:tc>
      </w:tr>
    </w:tbl>
    <w:p w14:paraId="5558E7B6" w14:textId="77777777" w:rsidR="004466AC" w:rsidRPr="005354E4" w:rsidRDefault="004466AC" w:rsidP="004466AC">
      <w:pPr>
        <w:spacing w:after="0" w:line="240" w:lineRule="auto"/>
        <w:jc w:val="both"/>
        <w:rPr>
          <w:rFonts w:eastAsia="Cambria" w:cstheme="minorHAnsi"/>
          <w:b/>
          <w:sz w:val="20"/>
          <w:szCs w:val="24"/>
          <w:u w:val="single"/>
        </w:rPr>
      </w:pPr>
    </w:p>
    <w:p w14:paraId="4EBE258E" w14:textId="77777777" w:rsidR="00637B1E" w:rsidRPr="005354E4" w:rsidRDefault="004466AC" w:rsidP="004466AC">
      <w:pPr>
        <w:jc w:val="both"/>
        <w:rPr>
          <w:rFonts w:eastAsia="Cambria" w:cstheme="minorHAnsi"/>
          <w:b/>
        </w:rPr>
      </w:pPr>
      <w:r w:rsidRPr="005354E4">
        <w:rPr>
          <w:rFonts w:eastAsia="Cambria" w:cstheme="minorHAnsi"/>
          <w:b/>
        </w:rPr>
        <w:t xml:space="preserve">5.2 </w:t>
      </w:r>
      <w:r w:rsidR="00637B1E" w:rsidRPr="005354E4">
        <w:rPr>
          <w:rFonts w:eastAsia="Cambria" w:cstheme="minorHAnsi"/>
          <w:b/>
        </w:rPr>
        <w:t>Transparence dans la déclaration des cas de fraude</w:t>
      </w:r>
    </w:p>
    <w:p w14:paraId="6FB39CC3" w14:textId="77777777" w:rsidR="00F414AB" w:rsidRDefault="00746327" w:rsidP="00C162CA">
      <w:pPr>
        <w:jc w:val="both"/>
        <w:rPr>
          <w:rFonts w:cstheme="minorHAnsi"/>
        </w:rPr>
      </w:pPr>
      <w:r w:rsidRPr="005354E4">
        <w:rPr>
          <w:rFonts w:cstheme="minorHAnsi"/>
        </w:rPr>
        <w:t xml:space="preserve">La lutte contre la fraude, quel que soit le type </w:t>
      </w:r>
      <w:r w:rsidR="00CB4482" w:rsidRPr="005354E4">
        <w:rPr>
          <w:rFonts w:cstheme="minorHAnsi"/>
        </w:rPr>
        <w:t>d’opération</w:t>
      </w:r>
      <w:r w:rsidR="00DF76D0" w:rsidRPr="005354E4">
        <w:rPr>
          <w:rFonts w:cstheme="minorHAnsi"/>
        </w:rPr>
        <w:t>,</w:t>
      </w:r>
      <w:r w:rsidRPr="005354E4">
        <w:rPr>
          <w:rFonts w:cstheme="minorHAnsi"/>
        </w:rPr>
        <w:t xml:space="preserve"> implique que toutes les parties prenantes, y compris les util</w:t>
      </w:r>
      <w:r w:rsidR="00DF76D0" w:rsidRPr="005354E4">
        <w:rPr>
          <w:rFonts w:cstheme="minorHAnsi"/>
        </w:rPr>
        <w:t>isateurs des moyens de paiement</w:t>
      </w:r>
      <w:r w:rsidRPr="005354E4">
        <w:rPr>
          <w:rFonts w:cstheme="minorHAnsi"/>
        </w:rPr>
        <w:t xml:space="preserve"> victimes des fraudeurs, coopèrent et fassent preuve de la plus grande transparence dans la </w:t>
      </w:r>
      <w:r w:rsidR="00CB4482" w:rsidRPr="005354E4">
        <w:rPr>
          <w:rFonts w:cstheme="minorHAnsi"/>
        </w:rPr>
        <w:t xml:space="preserve">description </w:t>
      </w:r>
      <w:r w:rsidRPr="005354E4">
        <w:rPr>
          <w:rFonts w:cstheme="minorHAnsi"/>
        </w:rPr>
        <w:t>des faits relatifs à la fraude.</w:t>
      </w:r>
      <w:r w:rsidR="00026580" w:rsidRPr="005354E4">
        <w:rPr>
          <w:rFonts w:cstheme="minorHAnsi"/>
        </w:rPr>
        <w:t xml:space="preserve"> La </w:t>
      </w:r>
      <w:r w:rsidR="00CB4482" w:rsidRPr="005354E4">
        <w:rPr>
          <w:rFonts w:cstheme="minorHAnsi"/>
        </w:rPr>
        <w:t xml:space="preserve">transmission </w:t>
      </w:r>
      <w:r w:rsidR="00026580" w:rsidRPr="005354E4">
        <w:rPr>
          <w:rFonts w:cstheme="minorHAnsi"/>
        </w:rPr>
        <w:t xml:space="preserve">d’une information exhaustive est nécessaire à l’instruction du dossier, mais aussi </w:t>
      </w:r>
      <w:r w:rsidR="00CB4482" w:rsidRPr="005354E4">
        <w:rPr>
          <w:rFonts w:cstheme="minorHAnsi"/>
        </w:rPr>
        <w:t>à l’identification des auteurs et à la mise en œuvre de poursuites pénales à leur encontre</w:t>
      </w:r>
      <w:r w:rsidR="00F414AB" w:rsidRPr="005354E4">
        <w:rPr>
          <w:rFonts w:cstheme="minorHAnsi"/>
        </w:rPr>
        <w:t>, ainsi qu’au renforcement des mécanismes de filtrage anti-fraude des professionnels des paiements</w:t>
      </w:r>
      <w:r w:rsidR="00026580" w:rsidRPr="005354E4">
        <w:rPr>
          <w:rFonts w:cstheme="minorHAnsi"/>
        </w:rPr>
        <w:t>.</w:t>
      </w:r>
      <w:r w:rsidR="00D14139" w:rsidRPr="005354E4">
        <w:rPr>
          <w:rFonts w:cstheme="minorHAnsi"/>
        </w:rPr>
        <w:t xml:space="preserve"> Elle est également indispensable pour enrichir de façon vertueuse les avis de mise en garde à l’attention des consommateurs et contribuer ainsi à la sensibilisation des utilisateurs de services de paiement.</w:t>
      </w:r>
    </w:p>
    <w:p w14:paraId="5891DF6C" w14:textId="77777777" w:rsidR="00861FCF" w:rsidRPr="005354E4" w:rsidRDefault="00861FCF" w:rsidP="00C162CA">
      <w:pPr>
        <w:jc w:val="both"/>
        <w:rPr>
          <w:rFonts w:cstheme="minorHAnsi"/>
        </w:rPr>
      </w:pPr>
      <w:r w:rsidRPr="00861FCF">
        <w:rPr>
          <w:rFonts w:cstheme="minorHAnsi"/>
        </w:rPr>
        <w:t>Auprès des forces de l’ordre, les démarches sur les plateformes Perceval et Thésée</w:t>
      </w:r>
      <w:r w:rsidRPr="005354E4">
        <w:rPr>
          <w:rStyle w:val="Appelnotedebasdep"/>
        </w:rPr>
        <w:footnoteReference w:id="13"/>
      </w:r>
      <w:r w:rsidRPr="00861FCF">
        <w:rPr>
          <w:rFonts w:cstheme="minorHAnsi"/>
        </w:rPr>
        <w:t xml:space="preserve"> sont à privilégier pour faciliter leur travail d’enquête. Par ailleurs, </w:t>
      </w:r>
      <w:r w:rsidRPr="00B1423B">
        <w:rPr>
          <w:rFonts w:cstheme="minorHAnsi"/>
          <w:b/>
        </w:rPr>
        <w:t>il est rappelé qu’un dépôt de plainte de l’utilisateur ne peut pas être exigé par le prestataire de services de paiement comme préalable à l’instruction de sa demande de remboursement</w:t>
      </w:r>
      <w:r w:rsidRPr="00861FCF">
        <w:rPr>
          <w:rFonts w:cstheme="minorHAnsi"/>
        </w:rPr>
        <w:t xml:space="preserve">.    </w:t>
      </w:r>
    </w:p>
    <w:tbl>
      <w:tblPr>
        <w:tblStyle w:val="Grilledutableau"/>
        <w:tblW w:w="0" w:type="auto"/>
        <w:tblBorders>
          <w:top w:val="triple" w:sz="6" w:space="0" w:color="0070C0"/>
          <w:left w:val="triple" w:sz="6" w:space="0" w:color="0070C0"/>
          <w:bottom w:val="triple" w:sz="6" w:space="0" w:color="0070C0"/>
          <w:right w:val="triple" w:sz="6" w:space="0" w:color="0070C0"/>
          <w:insideH w:val="triple" w:sz="6" w:space="0" w:color="0070C0"/>
          <w:insideV w:val="triple" w:sz="6" w:space="0" w:color="0070C0"/>
        </w:tblBorders>
        <w:tblLook w:val="04A0" w:firstRow="1" w:lastRow="0" w:firstColumn="1" w:lastColumn="0" w:noHBand="0" w:noVBand="1"/>
      </w:tblPr>
      <w:tblGrid>
        <w:gridCol w:w="8994"/>
      </w:tblGrid>
      <w:tr w:rsidR="00C719AB" w:rsidRPr="005354E4" w14:paraId="7BC061CF" w14:textId="77777777" w:rsidTr="00373761">
        <w:trPr>
          <w:trHeight w:val="1899"/>
        </w:trPr>
        <w:tc>
          <w:tcPr>
            <w:tcW w:w="8994" w:type="dxa"/>
          </w:tcPr>
          <w:p w14:paraId="6F35125D" w14:textId="77777777" w:rsidR="005A702D" w:rsidRPr="005354E4" w:rsidRDefault="00C719AB" w:rsidP="00F414AB">
            <w:pPr>
              <w:widowControl w:val="0"/>
              <w:spacing w:line="259" w:lineRule="auto"/>
              <w:jc w:val="both"/>
              <w:rPr>
                <w:rFonts w:cstheme="minorHAnsi"/>
              </w:rPr>
            </w:pPr>
            <w:r w:rsidRPr="005354E4">
              <w:rPr>
                <w:rFonts w:cstheme="minorHAnsi"/>
                <w:b/>
                <w:color w:val="000099"/>
              </w:rPr>
              <w:t>Recommandation</w:t>
            </w:r>
            <w:r w:rsidR="00BE75B4" w:rsidRPr="005354E4">
              <w:rPr>
                <w:rFonts w:cstheme="minorHAnsi"/>
                <w:b/>
                <w:color w:val="000099"/>
              </w:rPr>
              <w:t xml:space="preserve"> n°</w:t>
            </w:r>
            <w:r w:rsidR="00CB4482" w:rsidRPr="005354E4">
              <w:rPr>
                <w:rFonts w:cstheme="minorHAnsi"/>
                <w:b/>
                <w:color w:val="000099"/>
              </w:rPr>
              <w:t> </w:t>
            </w:r>
            <w:r w:rsidR="00637B1E" w:rsidRPr="005354E4">
              <w:rPr>
                <w:rFonts w:cstheme="minorHAnsi"/>
                <w:b/>
                <w:color w:val="000099"/>
              </w:rPr>
              <w:t>8</w:t>
            </w:r>
            <w:r w:rsidRPr="005354E4">
              <w:rPr>
                <w:rFonts w:cstheme="minorHAnsi"/>
                <w:b/>
                <w:color w:val="000099"/>
              </w:rPr>
              <w:t> :</w:t>
            </w:r>
            <w:r w:rsidR="00114D74" w:rsidRPr="005354E4">
              <w:rPr>
                <w:rFonts w:cstheme="minorHAnsi"/>
                <w:b/>
                <w:color w:val="000099"/>
              </w:rPr>
              <w:t xml:space="preserve"> </w:t>
            </w:r>
            <w:r w:rsidR="007D3741" w:rsidRPr="005354E4">
              <w:rPr>
                <w:rFonts w:cstheme="minorHAnsi"/>
                <w:b/>
                <w:color w:val="000099"/>
              </w:rPr>
              <w:t>d</w:t>
            </w:r>
            <w:r w:rsidR="00114D74" w:rsidRPr="005354E4">
              <w:rPr>
                <w:rFonts w:cstheme="minorHAnsi"/>
                <w:b/>
                <w:color w:val="000099"/>
              </w:rPr>
              <w:t xml:space="preserve">evoir de transparence </w:t>
            </w:r>
            <w:r w:rsidR="007D3741" w:rsidRPr="005354E4">
              <w:rPr>
                <w:rFonts w:cstheme="minorHAnsi"/>
                <w:b/>
                <w:color w:val="000099"/>
              </w:rPr>
              <w:t xml:space="preserve">de la part </w:t>
            </w:r>
            <w:r w:rsidR="00114D74" w:rsidRPr="005354E4">
              <w:rPr>
                <w:rFonts w:cstheme="minorHAnsi"/>
                <w:b/>
                <w:color w:val="000099"/>
              </w:rPr>
              <w:t>des victimes de fraude</w:t>
            </w:r>
          </w:p>
          <w:p w14:paraId="620E7BB6" w14:textId="77126BC8" w:rsidR="002862D0" w:rsidRPr="003057DD" w:rsidRDefault="00D14139" w:rsidP="00F414AB">
            <w:pPr>
              <w:widowControl w:val="0"/>
              <w:spacing w:line="259" w:lineRule="auto"/>
              <w:jc w:val="both"/>
              <w:rPr>
                <w:rFonts w:cstheme="minorHAnsi"/>
                <w:b/>
              </w:rPr>
            </w:pPr>
            <w:r w:rsidRPr="005354E4">
              <w:rPr>
                <w:rFonts w:cstheme="minorHAnsi"/>
                <w:b/>
              </w:rPr>
              <w:t xml:space="preserve">Lors </w:t>
            </w:r>
            <w:r w:rsidR="00C719AB" w:rsidRPr="005354E4">
              <w:rPr>
                <w:rFonts w:cstheme="minorHAnsi"/>
                <w:b/>
              </w:rPr>
              <w:t>de</w:t>
            </w:r>
            <w:r w:rsidR="00DF76D0" w:rsidRPr="005354E4">
              <w:rPr>
                <w:rFonts w:cstheme="minorHAnsi"/>
                <w:b/>
              </w:rPr>
              <w:t>s démarches de</w:t>
            </w:r>
            <w:r w:rsidR="00C719AB" w:rsidRPr="005354E4">
              <w:rPr>
                <w:rFonts w:cstheme="minorHAnsi"/>
                <w:b/>
              </w:rPr>
              <w:t xml:space="preserve"> déclaration</w:t>
            </w:r>
            <w:r w:rsidR="00DF76D0" w:rsidRPr="005354E4">
              <w:rPr>
                <w:rFonts w:cstheme="minorHAnsi"/>
                <w:b/>
              </w:rPr>
              <w:t xml:space="preserve"> auprès </w:t>
            </w:r>
            <w:r w:rsidRPr="005354E4">
              <w:rPr>
                <w:rFonts w:cstheme="minorHAnsi"/>
                <w:b/>
              </w:rPr>
              <w:t xml:space="preserve">de leur prestataire de services de paiement ou </w:t>
            </w:r>
            <w:r w:rsidR="00DF76D0" w:rsidRPr="005354E4">
              <w:rPr>
                <w:rFonts w:cstheme="minorHAnsi"/>
                <w:b/>
              </w:rPr>
              <w:t xml:space="preserve">des forces de l’ordre </w:t>
            </w:r>
            <w:r w:rsidR="00DF76D0" w:rsidRPr="005354E4">
              <w:t xml:space="preserve">(qu’il s’agisse </w:t>
            </w:r>
            <w:r w:rsidR="006260E7">
              <w:t xml:space="preserve">d’une déclaration sur l’honneur ou </w:t>
            </w:r>
            <w:r w:rsidR="00DF76D0" w:rsidRPr="005354E4">
              <w:t>de</w:t>
            </w:r>
            <w:r w:rsidR="00D931E6" w:rsidRPr="005354E4">
              <w:t>s</w:t>
            </w:r>
            <w:r w:rsidR="00DF76D0" w:rsidRPr="005354E4">
              <w:t xml:space="preserve"> démarche</w:t>
            </w:r>
            <w:r w:rsidR="00D931E6" w:rsidRPr="005354E4">
              <w:t>s</w:t>
            </w:r>
            <w:r w:rsidR="00DF76D0" w:rsidRPr="005354E4">
              <w:t xml:space="preserve"> en ligne sur l</w:t>
            </w:r>
            <w:r w:rsidR="00D931E6" w:rsidRPr="005354E4">
              <w:t>es</w:t>
            </w:r>
            <w:r w:rsidR="00DF76D0" w:rsidRPr="005354E4">
              <w:t xml:space="preserve"> plateforme</w:t>
            </w:r>
            <w:r w:rsidR="00D931E6" w:rsidRPr="005354E4">
              <w:t>s</w:t>
            </w:r>
            <w:r w:rsidR="00C719AB" w:rsidRPr="005354E4">
              <w:t xml:space="preserve"> Perceval</w:t>
            </w:r>
            <w:r w:rsidR="00D931E6" w:rsidRPr="005354E4">
              <w:t xml:space="preserve"> ou Thésée</w:t>
            </w:r>
            <w:r w:rsidR="00B1423B">
              <w:t>,</w:t>
            </w:r>
            <w:r w:rsidR="00C719AB" w:rsidRPr="005354E4">
              <w:t xml:space="preserve"> </w:t>
            </w:r>
            <w:r w:rsidR="00370676">
              <w:t>voire</w:t>
            </w:r>
            <w:r w:rsidR="00370676" w:rsidRPr="005354E4">
              <w:t xml:space="preserve"> </w:t>
            </w:r>
            <w:r w:rsidR="00DF76D0" w:rsidRPr="003F4DC9">
              <w:t xml:space="preserve">du dépôt de plainte </w:t>
            </w:r>
            <w:r w:rsidR="00CB4482" w:rsidRPr="003057DD">
              <w:t>au commissariat de police ou dans une unité de gendarmerie</w:t>
            </w:r>
            <w:r w:rsidR="00DF76D0" w:rsidRPr="003057DD">
              <w:t>)</w:t>
            </w:r>
            <w:r w:rsidRPr="003057DD">
              <w:rPr>
                <w:rFonts w:cstheme="minorHAnsi"/>
                <w:b/>
              </w:rPr>
              <w:t>, les consommateurs et leurs représentants veillent à fournir l’ensemble des éléments dont ils disposent concernant la fraude dont ils ont été victimes</w:t>
            </w:r>
            <w:r w:rsidR="002862D0" w:rsidRPr="003057DD">
              <w:rPr>
                <w:rFonts w:cstheme="minorHAnsi"/>
                <w:b/>
              </w:rPr>
              <w:t xml:space="preserve">. </w:t>
            </w:r>
          </w:p>
          <w:p w14:paraId="60ACCDC1" w14:textId="77777777" w:rsidR="002862D0" w:rsidRPr="005354E4" w:rsidRDefault="002862D0" w:rsidP="00F414AB">
            <w:pPr>
              <w:widowControl w:val="0"/>
              <w:spacing w:line="259" w:lineRule="auto"/>
              <w:jc w:val="both"/>
              <w:rPr>
                <w:rFonts w:cstheme="minorHAnsi"/>
                <w:b/>
              </w:rPr>
            </w:pPr>
          </w:p>
          <w:p w14:paraId="605E60BE" w14:textId="77777777" w:rsidR="002D4598" w:rsidRPr="005354E4" w:rsidRDefault="00B75555" w:rsidP="00F414AB">
            <w:pPr>
              <w:widowControl w:val="0"/>
              <w:spacing w:line="259" w:lineRule="auto"/>
              <w:jc w:val="both"/>
              <w:rPr>
                <w:rFonts w:cstheme="minorHAnsi"/>
                <w:b/>
              </w:rPr>
            </w:pPr>
            <w:r w:rsidRPr="005354E4">
              <w:rPr>
                <w:rFonts w:cstheme="minorHAnsi"/>
                <w:b/>
              </w:rPr>
              <w:t>L</w:t>
            </w:r>
            <w:r w:rsidR="002862D0" w:rsidRPr="005354E4">
              <w:rPr>
                <w:rFonts w:cstheme="minorHAnsi"/>
                <w:b/>
              </w:rPr>
              <w:t>es utilisateurs veillent notamment à fournir tous les éléments connus</w:t>
            </w:r>
            <w:r w:rsidR="005B4A32" w:rsidRPr="005354E4">
              <w:rPr>
                <w:rFonts w:cstheme="minorHAnsi"/>
                <w:b/>
              </w:rPr>
              <w:t xml:space="preserve"> sur</w:t>
            </w:r>
            <w:r w:rsidR="002D4598" w:rsidRPr="005354E4">
              <w:rPr>
                <w:rFonts w:cstheme="minorHAnsi"/>
                <w:b/>
              </w:rPr>
              <w:t>:</w:t>
            </w:r>
          </w:p>
          <w:p w14:paraId="1FB24DFD" w14:textId="77777777" w:rsidR="002D4598" w:rsidRPr="005354E4" w:rsidRDefault="005B4A32" w:rsidP="00F414AB">
            <w:pPr>
              <w:pStyle w:val="Paragraphedeliste"/>
              <w:widowControl w:val="0"/>
              <w:numPr>
                <w:ilvl w:val="0"/>
                <w:numId w:val="51"/>
              </w:numPr>
              <w:spacing w:before="120"/>
              <w:ind w:left="714" w:hanging="357"/>
              <w:contextualSpacing w:val="0"/>
              <w:jc w:val="both"/>
            </w:pPr>
            <w:r w:rsidRPr="005354E4">
              <w:rPr>
                <w:rFonts w:cstheme="minorHAnsi"/>
                <w:b/>
              </w:rPr>
              <w:t>La</w:t>
            </w:r>
            <w:r w:rsidR="00D92C26" w:rsidRPr="005354E4">
              <w:rPr>
                <w:rFonts w:cstheme="minorHAnsi"/>
                <w:b/>
              </w:rPr>
              <w:t xml:space="preserve"> nature et le contexte de l’opération</w:t>
            </w:r>
            <w:r w:rsidR="002D4598" w:rsidRPr="005354E4">
              <w:rPr>
                <w:rFonts w:cstheme="minorHAnsi"/>
                <w:b/>
              </w:rPr>
              <w:t xml:space="preserve"> : </w:t>
            </w:r>
            <w:r w:rsidR="002862D0" w:rsidRPr="005354E4">
              <w:t>par exemple</w:t>
            </w:r>
            <w:r w:rsidR="00D92C26" w:rsidRPr="005354E4">
              <w:t xml:space="preserve"> </w:t>
            </w:r>
            <w:r w:rsidR="002D4598" w:rsidRPr="005354E4">
              <w:t xml:space="preserve">leur niveau de </w:t>
            </w:r>
            <w:r w:rsidR="002862D0" w:rsidRPr="005354E4">
              <w:t>connaissance</w:t>
            </w:r>
            <w:r w:rsidR="00D92C26" w:rsidRPr="005354E4">
              <w:t xml:space="preserve"> du bénéficiaire, </w:t>
            </w:r>
            <w:r w:rsidR="002D4598" w:rsidRPr="005354E4">
              <w:t xml:space="preserve">les </w:t>
            </w:r>
            <w:r w:rsidR="00D92C26" w:rsidRPr="005354E4">
              <w:t xml:space="preserve">procédés </w:t>
            </w:r>
            <w:r w:rsidR="002D4598" w:rsidRPr="005354E4">
              <w:t xml:space="preserve">techniques ou manipulatoires que le fraudeur </w:t>
            </w:r>
            <w:r w:rsidRPr="005354E4">
              <w:t>est supposé avoir mobilisés</w:t>
            </w:r>
            <w:r w:rsidR="00D92C26" w:rsidRPr="005354E4">
              <w:t xml:space="preserve">, </w:t>
            </w:r>
            <w:r w:rsidR="002D4598" w:rsidRPr="005354E4">
              <w:t>l’instrument et les terminaux utilisés pour l’opération</w:t>
            </w:r>
            <w:r w:rsidRPr="005354E4">
              <w:t xml:space="preserve"> de paiement</w:t>
            </w:r>
            <w:r w:rsidR="002862D0" w:rsidRPr="005354E4">
              <w:t xml:space="preserve">, </w:t>
            </w:r>
            <w:r w:rsidR="002D4598" w:rsidRPr="005354E4">
              <w:t xml:space="preserve">les </w:t>
            </w:r>
            <w:r w:rsidR="002862D0" w:rsidRPr="005354E4">
              <w:t>messages ou appels</w:t>
            </w:r>
            <w:r w:rsidR="002D4598" w:rsidRPr="005354E4">
              <w:t xml:space="preserve"> </w:t>
            </w:r>
            <w:r w:rsidR="002862D0" w:rsidRPr="005354E4">
              <w:t xml:space="preserve">reçus, </w:t>
            </w:r>
            <w:r w:rsidR="002D4598" w:rsidRPr="005354E4">
              <w:t xml:space="preserve">les </w:t>
            </w:r>
            <w:r w:rsidR="002862D0" w:rsidRPr="005354E4">
              <w:t xml:space="preserve">actions </w:t>
            </w:r>
            <w:r w:rsidR="002D4598" w:rsidRPr="005354E4">
              <w:t xml:space="preserve">réalisées </w:t>
            </w:r>
            <w:r w:rsidR="00B75555" w:rsidRPr="005354E4">
              <w:t>sous le coup d’une manipulation par le fraudeur,</w:t>
            </w:r>
            <w:r w:rsidR="002D4598" w:rsidRPr="005354E4">
              <w:t xml:space="preserve"> etc. </w:t>
            </w:r>
          </w:p>
          <w:p w14:paraId="1666AB25" w14:textId="77777777" w:rsidR="00D92C26" w:rsidRPr="005354E4" w:rsidRDefault="005B4A32" w:rsidP="00861FCF">
            <w:pPr>
              <w:pStyle w:val="Paragraphedeliste"/>
              <w:widowControl w:val="0"/>
              <w:numPr>
                <w:ilvl w:val="0"/>
                <w:numId w:val="51"/>
              </w:numPr>
              <w:spacing w:before="120" w:after="120"/>
              <w:contextualSpacing w:val="0"/>
              <w:jc w:val="both"/>
            </w:pPr>
            <w:r w:rsidRPr="005354E4">
              <w:rPr>
                <w:rFonts w:cstheme="minorHAnsi"/>
                <w:b/>
              </w:rPr>
              <w:t>L</w:t>
            </w:r>
            <w:r w:rsidR="002D4598" w:rsidRPr="005354E4">
              <w:rPr>
                <w:rFonts w:cstheme="minorHAnsi"/>
                <w:b/>
              </w:rPr>
              <w:t xml:space="preserve">es actions entreprises une fois la fraude découverte : </w:t>
            </w:r>
            <w:r w:rsidR="002D4598" w:rsidRPr="005354E4">
              <w:t xml:space="preserve">par exemple le blocage de l’instrument, </w:t>
            </w:r>
            <w:r w:rsidR="00861FCF" w:rsidRPr="00861FCF">
              <w:t xml:space="preserve">le récépissé des démarches Perceval ou Thésée, ou le cas échéant </w:t>
            </w:r>
            <w:r w:rsidR="002D4598" w:rsidRPr="005354E4">
              <w:t xml:space="preserve">ou </w:t>
            </w:r>
            <w:r w:rsidR="003F0AD5" w:rsidRPr="005354E4">
              <w:t xml:space="preserve">le </w:t>
            </w:r>
            <w:r w:rsidR="002D4598" w:rsidRPr="005354E4">
              <w:t>dépôt de plainte auprès des forces de l’ordres</w:t>
            </w:r>
            <w:r w:rsidR="00472AB9" w:rsidRPr="005354E4">
              <w:t>,</w:t>
            </w:r>
            <w:r w:rsidR="002D4598" w:rsidRPr="005354E4">
              <w:t xml:space="preserve"> etc.</w:t>
            </w:r>
          </w:p>
        </w:tc>
      </w:tr>
    </w:tbl>
    <w:p w14:paraId="1E754B52" w14:textId="77777777" w:rsidR="00C162CA" w:rsidRPr="005354E4" w:rsidRDefault="00C162CA" w:rsidP="00FE662A">
      <w:pPr>
        <w:spacing w:after="0" w:line="240" w:lineRule="auto"/>
        <w:jc w:val="both"/>
        <w:rPr>
          <w:rFonts w:eastAsia="Cambria" w:cstheme="minorHAnsi"/>
          <w:b/>
          <w:sz w:val="20"/>
          <w:szCs w:val="24"/>
          <w:u w:val="single"/>
        </w:rPr>
      </w:pPr>
    </w:p>
    <w:p w14:paraId="14D74BDA" w14:textId="77777777" w:rsidR="007447DA" w:rsidRPr="005354E4" w:rsidRDefault="00DF76D0" w:rsidP="00D60C40">
      <w:pPr>
        <w:spacing w:after="120"/>
        <w:jc w:val="both"/>
        <w:rPr>
          <w:rFonts w:cstheme="minorHAnsi"/>
        </w:rPr>
      </w:pPr>
      <w:r w:rsidRPr="005354E4">
        <w:rPr>
          <w:rFonts w:cstheme="minorHAnsi"/>
        </w:rPr>
        <w:t xml:space="preserve">Le traitement </w:t>
      </w:r>
      <w:r w:rsidR="009D2E14" w:rsidRPr="005354E4">
        <w:rPr>
          <w:rFonts w:cstheme="minorHAnsi"/>
        </w:rPr>
        <w:t>d</w:t>
      </w:r>
      <w:r w:rsidRPr="005354E4">
        <w:rPr>
          <w:rFonts w:cstheme="minorHAnsi"/>
        </w:rPr>
        <w:t>es</w:t>
      </w:r>
      <w:r w:rsidR="009D2E14" w:rsidRPr="005354E4">
        <w:rPr>
          <w:rFonts w:cstheme="minorHAnsi"/>
        </w:rPr>
        <w:t xml:space="preserve"> contestation</w:t>
      </w:r>
      <w:r w:rsidRPr="005354E4">
        <w:rPr>
          <w:rFonts w:cstheme="minorHAnsi"/>
        </w:rPr>
        <w:t>s d’</w:t>
      </w:r>
      <w:r w:rsidR="009D2E14" w:rsidRPr="005354E4">
        <w:rPr>
          <w:rFonts w:cstheme="minorHAnsi"/>
        </w:rPr>
        <w:t>opération</w:t>
      </w:r>
      <w:r w:rsidRPr="005354E4">
        <w:rPr>
          <w:rFonts w:cstheme="minorHAnsi"/>
        </w:rPr>
        <w:t xml:space="preserve">s frauduleuses auprès des </w:t>
      </w:r>
      <w:r w:rsidR="00FE58B5" w:rsidRPr="005354E4">
        <w:rPr>
          <w:rFonts w:cstheme="minorHAnsi"/>
        </w:rPr>
        <w:t>PSP</w:t>
      </w:r>
      <w:r w:rsidRPr="005354E4">
        <w:rPr>
          <w:rFonts w:cstheme="minorHAnsi"/>
        </w:rPr>
        <w:t xml:space="preserve"> </w:t>
      </w:r>
      <w:r w:rsidR="007447DA" w:rsidRPr="005354E4">
        <w:rPr>
          <w:rFonts w:cstheme="minorHAnsi"/>
        </w:rPr>
        <w:t xml:space="preserve">comprend </w:t>
      </w:r>
      <w:r w:rsidR="00B2188D" w:rsidRPr="005354E4">
        <w:rPr>
          <w:rFonts w:cstheme="minorHAnsi"/>
        </w:rPr>
        <w:t xml:space="preserve">habituellement </w:t>
      </w:r>
      <w:r w:rsidR="007447DA" w:rsidRPr="005354E4">
        <w:rPr>
          <w:rFonts w:cstheme="minorHAnsi"/>
        </w:rPr>
        <w:t>plusieurs niveaux de recours :</w:t>
      </w:r>
    </w:p>
    <w:p w14:paraId="2285B37A" w14:textId="77777777" w:rsidR="007447DA" w:rsidRPr="005354E4" w:rsidRDefault="00B2188D" w:rsidP="00566D3E">
      <w:pPr>
        <w:pStyle w:val="Paragraphedeliste"/>
        <w:numPr>
          <w:ilvl w:val="0"/>
          <w:numId w:val="41"/>
        </w:numPr>
        <w:spacing w:after="120"/>
        <w:ind w:left="426"/>
        <w:contextualSpacing w:val="0"/>
        <w:jc w:val="both"/>
        <w:rPr>
          <w:rFonts w:cstheme="minorHAnsi"/>
        </w:rPr>
      </w:pPr>
      <w:r w:rsidRPr="005354E4">
        <w:rPr>
          <w:rFonts w:cstheme="minorHAnsi"/>
        </w:rPr>
        <w:t xml:space="preserve">la contestation </w:t>
      </w:r>
      <w:r w:rsidR="007447DA" w:rsidRPr="005354E4">
        <w:rPr>
          <w:rFonts w:cstheme="minorHAnsi"/>
        </w:rPr>
        <w:t>initiale doit être adressée auprès du chargé de clientèle de l’établissement teneur de compte, qui est le point de contact privilégié de l’utilisateur</w:t>
      </w:r>
      <w:r w:rsidR="000947BC" w:rsidRPr="005354E4">
        <w:rPr>
          <w:rFonts w:cstheme="minorHAnsi"/>
        </w:rPr>
        <w:t xml:space="preserve">, ou </w:t>
      </w:r>
      <w:r w:rsidR="00CB4482" w:rsidRPr="005354E4">
        <w:rPr>
          <w:rFonts w:cstheme="minorHAnsi"/>
        </w:rPr>
        <w:t>selon</w:t>
      </w:r>
      <w:r w:rsidR="000947BC" w:rsidRPr="005354E4">
        <w:rPr>
          <w:rFonts w:cstheme="minorHAnsi"/>
        </w:rPr>
        <w:t xml:space="preserve"> la procédure de contestation spécialement prévue par l’établissement, par exemple sur l’espace de banque en ligne</w:t>
      </w:r>
      <w:r w:rsidR="007447DA" w:rsidRPr="005354E4">
        <w:rPr>
          <w:rFonts w:cstheme="minorHAnsi"/>
        </w:rPr>
        <w:t> ;</w:t>
      </w:r>
    </w:p>
    <w:p w14:paraId="7E431B85" w14:textId="1FB8A61F" w:rsidR="007447DA" w:rsidRPr="005354E4" w:rsidRDefault="00CB4482" w:rsidP="00566D3E">
      <w:pPr>
        <w:pStyle w:val="Paragraphedeliste"/>
        <w:numPr>
          <w:ilvl w:val="0"/>
          <w:numId w:val="41"/>
        </w:numPr>
        <w:spacing w:after="120"/>
        <w:ind w:left="426"/>
        <w:contextualSpacing w:val="0"/>
        <w:jc w:val="both"/>
        <w:rPr>
          <w:rFonts w:cstheme="minorHAnsi"/>
        </w:rPr>
      </w:pPr>
      <w:r w:rsidRPr="005354E4">
        <w:rPr>
          <w:rFonts w:cstheme="minorHAnsi"/>
        </w:rPr>
        <w:t xml:space="preserve">en </w:t>
      </w:r>
      <w:r w:rsidR="007447DA" w:rsidRPr="005354E4">
        <w:rPr>
          <w:rFonts w:cstheme="minorHAnsi"/>
        </w:rPr>
        <w:t xml:space="preserve">cas de réponse </w:t>
      </w:r>
      <w:r w:rsidRPr="005354E4">
        <w:rPr>
          <w:rFonts w:cstheme="minorHAnsi"/>
        </w:rPr>
        <w:t>in</w:t>
      </w:r>
      <w:r w:rsidR="007447DA" w:rsidRPr="005354E4">
        <w:rPr>
          <w:rFonts w:cstheme="minorHAnsi"/>
        </w:rPr>
        <w:t xml:space="preserve">satisfaisante, l’utilisateur </w:t>
      </w:r>
      <w:r w:rsidR="00DB0E8E">
        <w:rPr>
          <w:rFonts w:cstheme="minorHAnsi"/>
        </w:rPr>
        <w:t xml:space="preserve">peut </w:t>
      </w:r>
      <w:r w:rsidR="00DD1AB5">
        <w:rPr>
          <w:rFonts w:cstheme="minorHAnsi"/>
        </w:rPr>
        <w:t>déposer une</w:t>
      </w:r>
      <w:r w:rsidR="009D2E14" w:rsidRPr="005354E4">
        <w:rPr>
          <w:rFonts w:cstheme="minorHAnsi"/>
        </w:rPr>
        <w:t xml:space="preserve"> réclamation </w:t>
      </w:r>
      <w:r w:rsidR="00DD1AB5">
        <w:rPr>
          <w:rFonts w:cstheme="minorHAnsi"/>
        </w:rPr>
        <w:t xml:space="preserve">auprès </w:t>
      </w:r>
      <w:r w:rsidR="009D2E14" w:rsidRPr="005354E4">
        <w:rPr>
          <w:rFonts w:cstheme="minorHAnsi"/>
        </w:rPr>
        <w:t xml:space="preserve">de </w:t>
      </w:r>
      <w:r w:rsidR="007447DA" w:rsidRPr="005354E4">
        <w:rPr>
          <w:rFonts w:cstheme="minorHAnsi"/>
        </w:rPr>
        <w:t>son prestataire de paiement</w:t>
      </w:r>
      <w:r w:rsidR="001D3494" w:rsidRPr="005354E4">
        <w:rPr>
          <w:rStyle w:val="Appelnotedebasdep"/>
          <w:rFonts w:cstheme="minorHAnsi"/>
        </w:rPr>
        <w:footnoteReference w:id="14"/>
      </w:r>
      <w:r w:rsidR="007447DA" w:rsidRPr="005354E4">
        <w:rPr>
          <w:rFonts w:cstheme="minorHAnsi"/>
        </w:rPr>
        <w:t> ;</w:t>
      </w:r>
    </w:p>
    <w:p w14:paraId="6F83B31A" w14:textId="77777777" w:rsidR="009D2E14" w:rsidRPr="005354E4" w:rsidRDefault="00CB4482" w:rsidP="00566D3E">
      <w:pPr>
        <w:pStyle w:val="Paragraphedeliste"/>
        <w:numPr>
          <w:ilvl w:val="0"/>
          <w:numId w:val="41"/>
        </w:numPr>
        <w:spacing w:after="120"/>
        <w:ind w:left="426"/>
        <w:contextualSpacing w:val="0"/>
        <w:jc w:val="both"/>
        <w:rPr>
          <w:rFonts w:cstheme="minorHAnsi"/>
        </w:rPr>
      </w:pPr>
      <w:r w:rsidRPr="005354E4">
        <w:rPr>
          <w:rFonts w:cstheme="minorHAnsi"/>
        </w:rPr>
        <w:t>en</w:t>
      </w:r>
      <w:r w:rsidR="003C6873" w:rsidRPr="005354E4">
        <w:rPr>
          <w:rFonts w:cstheme="minorHAnsi"/>
        </w:rPr>
        <w:t>fin</w:t>
      </w:r>
      <w:r w:rsidR="009D2E14" w:rsidRPr="005354E4">
        <w:rPr>
          <w:rFonts w:cstheme="minorHAnsi"/>
        </w:rPr>
        <w:t xml:space="preserve">, il peut saisir le médiateur </w:t>
      </w:r>
      <w:r w:rsidR="00B2188D" w:rsidRPr="005354E4">
        <w:rPr>
          <w:rFonts w:cstheme="minorHAnsi"/>
        </w:rPr>
        <w:t xml:space="preserve">désigné par </w:t>
      </w:r>
      <w:r w:rsidR="007447DA" w:rsidRPr="005354E4">
        <w:rPr>
          <w:rFonts w:cstheme="minorHAnsi"/>
        </w:rPr>
        <w:t>son prestataire de service de paiement</w:t>
      </w:r>
      <w:r w:rsidR="003C6873" w:rsidRPr="005354E4">
        <w:rPr>
          <w:rFonts w:cstheme="minorHAnsi"/>
        </w:rPr>
        <w:t>.</w:t>
      </w:r>
    </w:p>
    <w:p w14:paraId="2A7ADAF7" w14:textId="77777777" w:rsidR="00C162CA" w:rsidRPr="005354E4" w:rsidRDefault="003C6873" w:rsidP="00373761">
      <w:pPr>
        <w:spacing w:after="0"/>
        <w:jc w:val="both"/>
        <w:rPr>
          <w:rFonts w:eastAsia="Cambria" w:cstheme="minorHAnsi"/>
          <w:b/>
          <w:sz w:val="20"/>
          <w:szCs w:val="24"/>
          <w:u w:val="single"/>
        </w:rPr>
      </w:pPr>
      <w:r w:rsidRPr="005354E4">
        <w:rPr>
          <w:rFonts w:cstheme="minorHAnsi"/>
        </w:rPr>
        <w:t>Par ailleurs, l</w:t>
      </w:r>
      <w:r w:rsidR="00B2188D" w:rsidRPr="005354E4">
        <w:rPr>
          <w:rFonts w:cstheme="minorHAnsi"/>
        </w:rPr>
        <w:t>e client peut engager une action en justice, s’il l’estime utile, à tout moment après le rejet de sa contestation initiale.</w:t>
      </w:r>
    </w:p>
    <w:p w14:paraId="462F0C93" w14:textId="77777777" w:rsidR="00C33519" w:rsidRPr="005354E4" w:rsidRDefault="00C33519" w:rsidP="00C33519">
      <w:pPr>
        <w:pStyle w:val="Titre1"/>
        <w:numPr>
          <w:ilvl w:val="0"/>
          <w:numId w:val="8"/>
        </w:numPr>
        <w:pBdr>
          <w:top w:val="single" w:sz="4" w:space="1" w:color="000099"/>
          <w:bottom w:val="single" w:sz="4" w:space="1" w:color="000099"/>
        </w:pBdr>
        <w:jc w:val="both"/>
        <w:rPr>
          <w:rFonts w:asciiTheme="minorHAnsi" w:hAnsiTheme="minorHAnsi" w:cstheme="minorHAnsi"/>
          <w:b w:val="0"/>
          <w:smallCaps/>
          <w:color w:val="000099"/>
          <w:sz w:val="28"/>
        </w:rPr>
      </w:pPr>
      <w:r w:rsidRPr="005354E4">
        <w:rPr>
          <w:rFonts w:asciiTheme="minorHAnsi" w:hAnsiTheme="minorHAnsi" w:cstheme="minorHAnsi"/>
          <w:b w:val="0"/>
          <w:smallCaps/>
          <w:color w:val="000099"/>
          <w:sz w:val="28"/>
        </w:rPr>
        <w:t>Recommandations visant à prévenir la fraude</w:t>
      </w:r>
    </w:p>
    <w:p w14:paraId="16022AE3" w14:textId="77777777" w:rsidR="00C33519" w:rsidRPr="005354E4" w:rsidRDefault="00C33519" w:rsidP="00373761">
      <w:pPr>
        <w:pStyle w:val="Paragraphedeliste"/>
        <w:spacing w:after="0"/>
        <w:jc w:val="both"/>
        <w:rPr>
          <w:rFonts w:eastAsia="Times New Roman" w:cstheme="minorHAnsi"/>
          <w:b/>
          <w:bCs/>
          <w:smallCaps/>
          <w:sz w:val="28"/>
          <w:szCs w:val="32"/>
        </w:rPr>
      </w:pPr>
    </w:p>
    <w:p w14:paraId="6C3404E1" w14:textId="77777777" w:rsidR="00C33519" w:rsidRPr="005354E4" w:rsidRDefault="00BE75B4" w:rsidP="00C33519">
      <w:pPr>
        <w:jc w:val="both"/>
        <w:rPr>
          <w:rFonts w:cstheme="minorHAnsi"/>
          <w:b/>
        </w:rPr>
      </w:pPr>
      <w:r w:rsidRPr="005354E4">
        <w:rPr>
          <w:rFonts w:cstheme="minorHAnsi"/>
          <w:b/>
        </w:rPr>
        <w:t xml:space="preserve">6.1 </w:t>
      </w:r>
      <w:r w:rsidR="00C33519" w:rsidRPr="005354E4">
        <w:rPr>
          <w:rFonts w:cstheme="minorHAnsi"/>
          <w:b/>
        </w:rPr>
        <w:t>Consultation des comptes du client à l’aide de la banque en ligne ou de l’application mobile</w:t>
      </w:r>
    </w:p>
    <w:p w14:paraId="22AC1158" w14:textId="77777777" w:rsidR="00C33519" w:rsidRPr="005354E4" w:rsidRDefault="00C33519" w:rsidP="00BE75B4">
      <w:pPr>
        <w:jc w:val="both"/>
        <w:rPr>
          <w:rFonts w:cstheme="minorHAnsi"/>
        </w:rPr>
      </w:pPr>
      <w:r w:rsidRPr="005354E4">
        <w:rPr>
          <w:rFonts w:cstheme="minorHAnsi"/>
        </w:rPr>
        <w:t>L’un des scénarios de fraude actuellement observé consiste, pour le fraudeur, à récupérer par hameçonnage l’identifiant et le mot de passe de la banque en ligne, ainsi que les informations personnelles du client (nom et prénom, numéro de téléphone…).</w:t>
      </w:r>
    </w:p>
    <w:p w14:paraId="3E221C22" w14:textId="77777777" w:rsidR="00C33519" w:rsidRPr="005354E4" w:rsidRDefault="00C33519">
      <w:pPr>
        <w:jc w:val="both"/>
        <w:rPr>
          <w:rFonts w:cstheme="minorHAnsi"/>
        </w:rPr>
      </w:pPr>
      <w:r w:rsidRPr="005354E4">
        <w:rPr>
          <w:rFonts w:cstheme="minorHAnsi"/>
        </w:rPr>
        <w:t xml:space="preserve">Muni </w:t>
      </w:r>
      <w:r w:rsidR="000947BC" w:rsidRPr="005354E4">
        <w:rPr>
          <w:rFonts w:cstheme="minorHAnsi"/>
        </w:rPr>
        <w:t xml:space="preserve">de </w:t>
      </w:r>
      <w:r w:rsidRPr="005354E4">
        <w:rPr>
          <w:rFonts w:cstheme="minorHAnsi"/>
        </w:rPr>
        <w:t>ces informations, le fraudeur se connecte à l’espace de banque en ligne du client pour réunir des informations sur les produits détenus par le client et la situation des comptes (solde, dernières opérations effectuées…). Ainsi, le fraudeur peut contacter le client en usurpant l’identité du prestataire de services de paiement, cette usurpation étant rendue crédible par la détention d’informations bancaires précises le concernant et qu’un tiers n’est pas censé connaître. Mis en confiance, le client victime de la fraude sera incité à accéder à la demande du fraudeur de valider des opérations (ajout de bénéficiaire, ordres de virement…) par authentification forte.</w:t>
      </w:r>
    </w:p>
    <w:p w14:paraId="3D9E22E9" w14:textId="77777777" w:rsidR="00C33519" w:rsidRPr="005354E4" w:rsidRDefault="00C33519">
      <w:pPr>
        <w:jc w:val="both"/>
        <w:rPr>
          <w:rFonts w:cstheme="minorHAnsi"/>
        </w:rPr>
      </w:pPr>
      <w:r w:rsidRPr="005354E4">
        <w:rPr>
          <w:rFonts w:cstheme="minorHAnsi"/>
        </w:rPr>
        <w:t>Ce scénario de fraude peut être prévenu par la mise en place de l’authentification forte à chaque consultation de la banque en ligne, sauf si</w:t>
      </w:r>
      <w:r w:rsidR="00F95DE9" w:rsidRPr="005354E4">
        <w:rPr>
          <w:rFonts w:cstheme="minorHAnsi"/>
        </w:rPr>
        <w:t xml:space="preserve"> </w:t>
      </w:r>
      <w:r w:rsidR="000947BC" w:rsidRPr="005354E4">
        <w:rPr>
          <w:rFonts w:cstheme="minorHAnsi"/>
        </w:rPr>
        <w:t>la consultation se fait à partir d’un terminal régulièrement utilisé par l’utilisateur et que la dernière connexion avec authentification forte date de moins de 180 jours.</w:t>
      </w:r>
    </w:p>
    <w:p w14:paraId="76AE2752" w14:textId="77777777" w:rsidR="00C33519" w:rsidRPr="005354E4" w:rsidRDefault="00C33519" w:rsidP="00373761">
      <w:pPr>
        <w:pBdr>
          <w:top w:val="triple" w:sz="4" w:space="1" w:color="000099"/>
          <w:left w:val="triple" w:sz="4" w:space="4" w:color="000099"/>
          <w:bottom w:val="triple" w:sz="4" w:space="1" w:color="000099"/>
          <w:right w:val="triple" w:sz="4" w:space="4" w:color="000099"/>
        </w:pBdr>
        <w:jc w:val="both"/>
        <w:rPr>
          <w:rFonts w:cstheme="minorHAnsi"/>
          <w:b/>
          <w:color w:val="000099"/>
        </w:rPr>
      </w:pPr>
      <w:r w:rsidRPr="005354E4">
        <w:rPr>
          <w:rFonts w:cstheme="minorHAnsi"/>
          <w:b/>
          <w:color w:val="000099"/>
        </w:rPr>
        <w:t>Recommandation</w:t>
      </w:r>
      <w:r w:rsidR="00BE75B4" w:rsidRPr="005354E4">
        <w:rPr>
          <w:rFonts w:cstheme="minorHAnsi"/>
          <w:b/>
          <w:color w:val="000099"/>
        </w:rPr>
        <w:t xml:space="preserve"> n°</w:t>
      </w:r>
      <w:r w:rsidR="00F81FE8" w:rsidRPr="005354E4">
        <w:rPr>
          <w:rFonts w:cstheme="minorHAnsi"/>
          <w:b/>
          <w:color w:val="000099"/>
        </w:rPr>
        <w:t> </w:t>
      </w:r>
      <w:r w:rsidR="00B85880" w:rsidRPr="005354E4">
        <w:rPr>
          <w:rFonts w:cstheme="minorHAnsi"/>
          <w:b/>
          <w:color w:val="000099"/>
        </w:rPr>
        <w:t>9</w:t>
      </w:r>
      <w:r w:rsidRPr="005354E4">
        <w:rPr>
          <w:rFonts w:cstheme="minorHAnsi"/>
          <w:b/>
          <w:color w:val="000099"/>
        </w:rPr>
        <w:t> :</w:t>
      </w:r>
      <w:r w:rsidR="00114D74" w:rsidRPr="005354E4">
        <w:rPr>
          <w:rFonts w:cstheme="minorHAnsi"/>
          <w:b/>
          <w:color w:val="000099"/>
        </w:rPr>
        <w:t xml:space="preserve"> </w:t>
      </w:r>
      <w:r w:rsidR="00C86DF1" w:rsidRPr="005354E4">
        <w:rPr>
          <w:rFonts w:cstheme="minorHAnsi"/>
        </w:rPr>
        <w:t>application d’une</w:t>
      </w:r>
      <w:r w:rsidR="00C86DF1" w:rsidRPr="005354E4">
        <w:rPr>
          <w:rFonts w:cstheme="minorHAnsi"/>
          <w:b/>
          <w:color w:val="000099"/>
        </w:rPr>
        <w:t xml:space="preserve"> </w:t>
      </w:r>
      <w:r w:rsidR="007D3741" w:rsidRPr="005354E4">
        <w:rPr>
          <w:rFonts w:cstheme="minorHAnsi"/>
        </w:rPr>
        <w:t>a</w:t>
      </w:r>
      <w:r w:rsidR="00114D74" w:rsidRPr="005354E4">
        <w:rPr>
          <w:rFonts w:cstheme="minorHAnsi"/>
        </w:rPr>
        <w:t xml:space="preserve">uthentification forte </w:t>
      </w:r>
      <w:r w:rsidR="007D3741" w:rsidRPr="005354E4">
        <w:rPr>
          <w:rFonts w:cstheme="minorHAnsi"/>
        </w:rPr>
        <w:t>lors de l’</w:t>
      </w:r>
      <w:r w:rsidR="00114D74" w:rsidRPr="005354E4">
        <w:rPr>
          <w:rFonts w:cstheme="minorHAnsi"/>
        </w:rPr>
        <w:t>accès à la banque en ligne</w:t>
      </w:r>
      <w:r w:rsidR="007D3741" w:rsidRPr="005354E4">
        <w:rPr>
          <w:rFonts w:cstheme="minorHAnsi"/>
        </w:rPr>
        <w:t xml:space="preserve"> depuis un nouveau point d’accès à internet ou un nouveau terminal</w:t>
      </w:r>
    </w:p>
    <w:p w14:paraId="12277D76" w14:textId="77777777" w:rsidR="00C33519" w:rsidRPr="005354E4" w:rsidRDefault="00C33519" w:rsidP="00373761">
      <w:pPr>
        <w:pBdr>
          <w:top w:val="triple" w:sz="4" w:space="1" w:color="000099"/>
          <w:left w:val="triple" w:sz="4" w:space="4" w:color="000099"/>
          <w:bottom w:val="triple" w:sz="4" w:space="1" w:color="000099"/>
          <w:right w:val="triple" w:sz="4" w:space="4" w:color="000099"/>
        </w:pBdr>
        <w:jc w:val="both"/>
        <w:rPr>
          <w:rFonts w:cstheme="minorHAnsi"/>
          <w:b/>
        </w:rPr>
      </w:pPr>
      <w:r w:rsidRPr="005354E4">
        <w:rPr>
          <w:rFonts w:cstheme="minorHAnsi"/>
          <w:b/>
        </w:rPr>
        <w:t xml:space="preserve">Les prestataires de service de paiement sont invités à exiger une authentification forte en cas de consultation des comptes depuis la banque en ligne ou l’application mobile depuis un </w:t>
      </w:r>
      <w:r w:rsidR="007D3741" w:rsidRPr="005354E4">
        <w:rPr>
          <w:rFonts w:cstheme="minorHAnsi"/>
          <w:b/>
        </w:rPr>
        <w:t xml:space="preserve">terminal </w:t>
      </w:r>
      <w:r w:rsidRPr="005354E4">
        <w:rPr>
          <w:rFonts w:cstheme="minorHAnsi"/>
          <w:b/>
        </w:rPr>
        <w:t>et/ou un point d’accès à internet qui n’a pas été précédemment utilisé par le client.</w:t>
      </w:r>
    </w:p>
    <w:p w14:paraId="1004D756" w14:textId="77777777" w:rsidR="00861FCF" w:rsidRDefault="00861FCF" w:rsidP="00CC7CE6">
      <w:pPr>
        <w:spacing w:before="240"/>
        <w:jc w:val="both"/>
        <w:rPr>
          <w:rFonts w:cstheme="minorHAnsi"/>
          <w:b/>
        </w:rPr>
      </w:pPr>
    </w:p>
    <w:p w14:paraId="24C5ABF3" w14:textId="77777777" w:rsidR="00C33519" w:rsidRPr="005354E4" w:rsidRDefault="00BE75B4" w:rsidP="00CC7CE6">
      <w:pPr>
        <w:spacing w:before="240"/>
        <w:jc w:val="both"/>
        <w:rPr>
          <w:rFonts w:cstheme="minorHAnsi"/>
          <w:b/>
        </w:rPr>
      </w:pPr>
      <w:r w:rsidRPr="005354E4">
        <w:rPr>
          <w:rFonts w:cstheme="minorHAnsi"/>
          <w:b/>
        </w:rPr>
        <w:t xml:space="preserve">6.2 </w:t>
      </w:r>
      <w:r w:rsidR="00C33519" w:rsidRPr="005354E4">
        <w:rPr>
          <w:rFonts w:cstheme="minorHAnsi"/>
          <w:b/>
        </w:rPr>
        <w:t>Information délivrée au client lors de l’ajout d’un bénéficiaire de virement</w:t>
      </w:r>
    </w:p>
    <w:p w14:paraId="4E625B79" w14:textId="77777777" w:rsidR="00C33519" w:rsidRPr="005354E4" w:rsidRDefault="008442BC">
      <w:pPr>
        <w:jc w:val="both"/>
        <w:rPr>
          <w:rFonts w:cstheme="minorHAnsi"/>
        </w:rPr>
      </w:pPr>
      <w:r w:rsidRPr="005354E4">
        <w:rPr>
          <w:rFonts w:cstheme="minorHAnsi"/>
        </w:rPr>
        <w:t xml:space="preserve">La réglementation actuelle en matière de sécurité des paiements ne prévoit </w:t>
      </w:r>
      <w:r w:rsidR="00F81FE8" w:rsidRPr="005354E4">
        <w:rPr>
          <w:rFonts w:cstheme="minorHAnsi"/>
        </w:rPr>
        <w:t xml:space="preserve">pas de </w:t>
      </w:r>
      <w:r w:rsidR="00C33519" w:rsidRPr="005354E4">
        <w:rPr>
          <w:rFonts w:cstheme="minorHAnsi"/>
        </w:rPr>
        <w:t xml:space="preserve">contrôle </w:t>
      </w:r>
      <w:r w:rsidRPr="005354E4">
        <w:rPr>
          <w:rFonts w:cstheme="minorHAnsi"/>
        </w:rPr>
        <w:t>systématique</w:t>
      </w:r>
      <w:r w:rsidR="00C33519" w:rsidRPr="005354E4">
        <w:rPr>
          <w:rFonts w:cstheme="minorHAnsi"/>
        </w:rPr>
        <w:t xml:space="preserve"> sur le nom du bénéficiaire d’un virement : un ordre de virement </w:t>
      </w:r>
      <w:r w:rsidRPr="005354E4">
        <w:rPr>
          <w:rFonts w:cstheme="minorHAnsi"/>
        </w:rPr>
        <w:t xml:space="preserve">peut être </w:t>
      </w:r>
      <w:r w:rsidR="00C33519" w:rsidRPr="005354E4">
        <w:rPr>
          <w:rFonts w:cstheme="minorHAnsi"/>
        </w:rPr>
        <w:t>exécuté dès lors que l’IBAN bénéficiaire est valide, que le compte bénéficiaire existe et n’a pas été clos</w:t>
      </w:r>
      <w:r w:rsidRPr="005354E4">
        <w:rPr>
          <w:rFonts w:cstheme="minorHAnsi"/>
        </w:rPr>
        <w:t xml:space="preserve">, indépendamment </w:t>
      </w:r>
      <w:r w:rsidR="00F81FE8" w:rsidRPr="005354E4">
        <w:rPr>
          <w:rFonts w:cstheme="minorHAnsi"/>
        </w:rPr>
        <w:t>de la concordance entre le</w:t>
      </w:r>
      <w:r w:rsidRPr="005354E4">
        <w:rPr>
          <w:rFonts w:cstheme="minorHAnsi"/>
        </w:rPr>
        <w:t xml:space="preserve"> nom du bénéficiaire fourni par le payeur</w:t>
      </w:r>
      <w:r w:rsidR="00F81FE8" w:rsidRPr="005354E4">
        <w:rPr>
          <w:rFonts w:cstheme="minorHAnsi"/>
        </w:rPr>
        <w:t xml:space="preserve"> et le nom du titulaire réel du compte</w:t>
      </w:r>
      <w:r w:rsidR="00C33519" w:rsidRPr="005354E4">
        <w:rPr>
          <w:rFonts w:cstheme="minorHAnsi"/>
        </w:rPr>
        <w:t>.</w:t>
      </w:r>
    </w:p>
    <w:p w14:paraId="2E5C14C3" w14:textId="77777777" w:rsidR="00C33519" w:rsidRPr="005354E4" w:rsidRDefault="00C33519">
      <w:pPr>
        <w:jc w:val="both"/>
        <w:rPr>
          <w:rFonts w:cstheme="minorHAnsi"/>
        </w:rPr>
      </w:pPr>
      <w:r w:rsidRPr="005354E4">
        <w:rPr>
          <w:rFonts w:cstheme="minorHAnsi"/>
        </w:rPr>
        <w:t>Cette situation est exploitée par certains fraudeurs, notamment dans le cadre du scénario dit de « substitution d’IBAN » : le fraudeur transmet l’IBAN d’un compte dont il est titulaire (ou dont le titulaire est complice de la fraude) en l’associant à l’intitulé d’un bénéficiaire de confiance (par exemple, le Trésor public</w:t>
      </w:r>
      <w:r w:rsidR="000947BC" w:rsidRPr="005354E4">
        <w:rPr>
          <w:rFonts w:cstheme="minorHAnsi"/>
        </w:rPr>
        <w:t xml:space="preserve"> ou un notaire</w:t>
      </w:r>
      <w:r w:rsidRPr="005354E4">
        <w:rPr>
          <w:rFonts w:cstheme="minorHAnsi"/>
        </w:rPr>
        <w:t>).</w:t>
      </w:r>
    </w:p>
    <w:p w14:paraId="1D955495" w14:textId="77777777" w:rsidR="00C33519" w:rsidRPr="005354E4" w:rsidRDefault="00C33519">
      <w:pPr>
        <w:jc w:val="both"/>
        <w:rPr>
          <w:rFonts w:cstheme="minorHAnsi"/>
        </w:rPr>
      </w:pPr>
      <w:r w:rsidRPr="005354E4">
        <w:rPr>
          <w:rFonts w:cstheme="minorHAnsi"/>
        </w:rPr>
        <w:t>Or, lors de l’ajout d’un bénéficiaire, l’émetteur du virement est invité à saisir le nom du bénéficiaire.</w:t>
      </w:r>
      <w:r w:rsidR="000947BC" w:rsidRPr="005354E4">
        <w:rPr>
          <w:rFonts w:cstheme="minorHAnsi"/>
        </w:rPr>
        <w:t xml:space="preserve"> Une étape de « validation de l’IBAN »</w:t>
      </w:r>
      <w:r w:rsidR="00687BB7" w:rsidRPr="005354E4">
        <w:rPr>
          <w:rFonts w:cstheme="minorHAnsi"/>
        </w:rPr>
        <w:t>, nécessitant un délai pouvant atteindre plusieurs jours, est même annoncée sur l’espace de banque en ligne et l’application mobile de certains établissements</w:t>
      </w:r>
      <w:r w:rsidR="000947BC" w:rsidRPr="005354E4">
        <w:rPr>
          <w:rFonts w:cstheme="minorHAnsi"/>
        </w:rPr>
        <w:t>.</w:t>
      </w:r>
      <w:r w:rsidRPr="005354E4">
        <w:rPr>
          <w:rFonts w:cstheme="minorHAnsi"/>
        </w:rPr>
        <w:t xml:space="preserve"> L’émetteur du virement peut ainsi présumer, à tort, de l’existence d’un contrôle de concordance, et que le virement ne sera pas exécuté ou </w:t>
      </w:r>
      <w:r w:rsidR="00687BB7" w:rsidRPr="005354E4">
        <w:rPr>
          <w:rFonts w:cstheme="minorHAnsi"/>
        </w:rPr>
        <w:t xml:space="preserve">pourra être </w:t>
      </w:r>
      <w:r w:rsidRPr="005354E4">
        <w:rPr>
          <w:rFonts w:cstheme="minorHAnsi"/>
        </w:rPr>
        <w:t xml:space="preserve">annulé </w:t>
      </w:r>
      <w:r w:rsidR="00687BB7" w:rsidRPr="005354E4">
        <w:rPr>
          <w:rFonts w:cstheme="minorHAnsi"/>
        </w:rPr>
        <w:t xml:space="preserve">par le payeur </w:t>
      </w:r>
      <w:r w:rsidRPr="005354E4">
        <w:rPr>
          <w:rFonts w:cstheme="minorHAnsi"/>
        </w:rPr>
        <w:t>dans le cas où le véritable titulaire du compte bénéficiaire ne correspond pas au nom saisi lors de l’ajout de l’IBAN de ce compte.</w:t>
      </w:r>
    </w:p>
    <w:p w14:paraId="04DAA682" w14:textId="77777777" w:rsidR="005143F5" w:rsidRPr="003057DD" w:rsidRDefault="005143F5">
      <w:pPr>
        <w:jc w:val="both"/>
        <w:rPr>
          <w:rFonts w:cstheme="minorHAnsi"/>
        </w:rPr>
      </w:pPr>
      <w:r w:rsidRPr="005354E4">
        <w:rPr>
          <w:rFonts w:cstheme="minorHAnsi"/>
        </w:rPr>
        <w:t xml:space="preserve">Cette situation devrait toutefois évoluer au cours des prochaines années : dans sa proposition de révision du </w:t>
      </w:r>
      <w:r w:rsidR="00687BB7" w:rsidRPr="005354E4">
        <w:rPr>
          <w:rFonts w:cstheme="minorHAnsi"/>
        </w:rPr>
        <w:t>r</w:t>
      </w:r>
      <w:r w:rsidRPr="005354E4">
        <w:rPr>
          <w:rFonts w:cstheme="minorHAnsi"/>
        </w:rPr>
        <w:t>èglement SEPA</w:t>
      </w:r>
      <w:r w:rsidR="00B05873" w:rsidRPr="005354E4">
        <w:rPr>
          <w:rStyle w:val="Appelnotedebasdep"/>
          <w:rFonts w:cstheme="minorHAnsi"/>
        </w:rPr>
        <w:footnoteReference w:id="15"/>
      </w:r>
      <w:r w:rsidRPr="005354E4">
        <w:rPr>
          <w:rFonts w:cstheme="minorHAnsi"/>
        </w:rPr>
        <w:t>, la Commission européenne prévoit notamment de renforcer la confiance dans les paiements instantanés avec l'obligation pour les prestataires de vérifier la concordance entre</w:t>
      </w:r>
      <w:r w:rsidR="00687BB7" w:rsidRPr="003F4DC9">
        <w:rPr>
          <w:rFonts w:cstheme="minorHAnsi"/>
        </w:rPr>
        <w:t xml:space="preserve"> l’IBAN</w:t>
      </w:r>
      <w:r w:rsidRPr="003F4DC9">
        <w:rPr>
          <w:rFonts w:cstheme="minorHAnsi"/>
        </w:rPr>
        <w:t xml:space="preserve"> et le nom du bénéficiair</w:t>
      </w:r>
      <w:r w:rsidRPr="003057DD">
        <w:rPr>
          <w:rFonts w:cstheme="minorHAnsi"/>
        </w:rPr>
        <w:t>e fourni</w:t>
      </w:r>
      <w:r w:rsidR="00687BB7" w:rsidRPr="003057DD">
        <w:rPr>
          <w:rFonts w:cstheme="minorHAnsi"/>
        </w:rPr>
        <w:t>s</w:t>
      </w:r>
      <w:r w:rsidRPr="003057DD">
        <w:rPr>
          <w:rFonts w:cstheme="minorHAnsi"/>
        </w:rPr>
        <w:t xml:space="preserve"> par le payeur afin d'alerter celui-ci d'une éventuelle erreur ou fraude avant q</w:t>
      </w:r>
      <w:r w:rsidR="00D570E0" w:rsidRPr="003057DD">
        <w:rPr>
          <w:rFonts w:cstheme="minorHAnsi"/>
        </w:rPr>
        <w:t>ue le paiement ne soit effectué.</w:t>
      </w:r>
    </w:p>
    <w:p w14:paraId="53327C8D" w14:textId="77777777" w:rsidR="00C33519" w:rsidRPr="005354E4" w:rsidRDefault="00C33519" w:rsidP="00373761">
      <w:pPr>
        <w:pBdr>
          <w:top w:val="triple" w:sz="4" w:space="1" w:color="000099"/>
          <w:left w:val="triple" w:sz="4" w:space="4" w:color="000099"/>
          <w:bottom w:val="triple" w:sz="4" w:space="1" w:color="000099"/>
          <w:right w:val="triple" w:sz="4" w:space="4" w:color="000099"/>
        </w:pBdr>
        <w:jc w:val="both"/>
        <w:rPr>
          <w:rFonts w:cstheme="minorHAnsi"/>
          <w:b/>
          <w:color w:val="000099"/>
        </w:rPr>
      </w:pPr>
      <w:r w:rsidRPr="005354E4">
        <w:rPr>
          <w:rFonts w:cstheme="minorHAnsi"/>
          <w:b/>
          <w:color w:val="000099"/>
        </w:rPr>
        <w:t>Recommandation</w:t>
      </w:r>
      <w:r w:rsidR="00BE75B4" w:rsidRPr="005354E4">
        <w:rPr>
          <w:rFonts w:cstheme="minorHAnsi"/>
          <w:b/>
          <w:color w:val="000099"/>
        </w:rPr>
        <w:t xml:space="preserve"> n°</w:t>
      </w:r>
      <w:r w:rsidR="00687BB7" w:rsidRPr="005354E4">
        <w:rPr>
          <w:rFonts w:cstheme="minorHAnsi"/>
          <w:b/>
          <w:color w:val="000099"/>
        </w:rPr>
        <w:t> </w:t>
      </w:r>
      <w:r w:rsidR="00B85880" w:rsidRPr="005354E4">
        <w:rPr>
          <w:rFonts w:cstheme="minorHAnsi"/>
          <w:b/>
          <w:color w:val="000099"/>
        </w:rPr>
        <w:t>10</w:t>
      </w:r>
      <w:r w:rsidRPr="005354E4">
        <w:rPr>
          <w:rFonts w:cstheme="minorHAnsi"/>
          <w:b/>
          <w:color w:val="000099"/>
        </w:rPr>
        <w:t> :</w:t>
      </w:r>
      <w:r w:rsidR="00114D74" w:rsidRPr="005354E4">
        <w:rPr>
          <w:rFonts w:cstheme="minorHAnsi"/>
          <w:b/>
          <w:color w:val="000099"/>
        </w:rPr>
        <w:t xml:space="preserve"> </w:t>
      </w:r>
      <w:r w:rsidR="00D903D0" w:rsidRPr="005354E4">
        <w:rPr>
          <w:rFonts w:cstheme="minorHAnsi"/>
          <w:b/>
          <w:color w:val="000099"/>
        </w:rPr>
        <w:t>modalités d’</w:t>
      </w:r>
      <w:r w:rsidR="00114D74" w:rsidRPr="005354E4">
        <w:rPr>
          <w:rFonts w:cstheme="minorHAnsi"/>
          <w:b/>
          <w:color w:val="000099"/>
        </w:rPr>
        <w:t xml:space="preserve">enregistrement </w:t>
      </w:r>
      <w:r w:rsidR="00D903D0" w:rsidRPr="005354E4">
        <w:rPr>
          <w:rFonts w:cstheme="minorHAnsi"/>
          <w:b/>
          <w:color w:val="000099"/>
        </w:rPr>
        <w:t xml:space="preserve">des </w:t>
      </w:r>
      <w:r w:rsidR="00114D74" w:rsidRPr="005354E4">
        <w:rPr>
          <w:rFonts w:cstheme="minorHAnsi"/>
          <w:b/>
          <w:color w:val="000099"/>
        </w:rPr>
        <w:t>IBAN bénéficiaire</w:t>
      </w:r>
      <w:r w:rsidR="00D903D0" w:rsidRPr="005354E4">
        <w:rPr>
          <w:rFonts w:cstheme="minorHAnsi"/>
          <w:b/>
          <w:color w:val="000099"/>
        </w:rPr>
        <w:t>s de virements</w:t>
      </w:r>
    </w:p>
    <w:p w14:paraId="52E11752" w14:textId="77777777" w:rsidR="00C33519" w:rsidRPr="005354E4" w:rsidRDefault="00C33519" w:rsidP="00373761">
      <w:pPr>
        <w:pBdr>
          <w:top w:val="triple" w:sz="4" w:space="1" w:color="000099"/>
          <w:left w:val="triple" w:sz="4" w:space="4" w:color="000099"/>
          <w:bottom w:val="triple" w:sz="4" w:space="1" w:color="000099"/>
          <w:right w:val="triple" w:sz="4" w:space="4" w:color="000099"/>
        </w:pBdr>
        <w:jc w:val="both"/>
        <w:rPr>
          <w:rFonts w:cstheme="minorHAnsi"/>
          <w:b/>
        </w:rPr>
      </w:pPr>
      <w:r w:rsidRPr="005354E4">
        <w:rPr>
          <w:rFonts w:cstheme="minorHAnsi"/>
          <w:b/>
        </w:rPr>
        <w:t>Les prestataires de services de paiement sont invités à indiquer clairement, à chaque ajout d’un bénéficiaire de virement</w:t>
      </w:r>
      <w:r w:rsidR="008442BC" w:rsidRPr="005354E4">
        <w:rPr>
          <w:rFonts w:cstheme="minorHAnsi"/>
          <w:b/>
        </w:rPr>
        <w:t>,</w:t>
      </w:r>
      <w:r w:rsidRPr="005354E4">
        <w:rPr>
          <w:rFonts w:cstheme="minorHAnsi"/>
          <w:b/>
        </w:rPr>
        <w:t xml:space="preserve"> </w:t>
      </w:r>
      <w:r w:rsidR="008442BC" w:rsidRPr="005354E4">
        <w:rPr>
          <w:rFonts w:cstheme="minorHAnsi"/>
          <w:b/>
        </w:rPr>
        <w:t xml:space="preserve">si </w:t>
      </w:r>
      <w:r w:rsidRPr="005354E4">
        <w:rPr>
          <w:rFonts w:cstheme="minorHAnsi"/>
          <w:b/>
        </w:rPr>
        <w:t xml:space="preserve">un contrôle de concordance entre IBAN et nom du </w:t>
      </w:r>
      <w:r w:rsidR="008442BC" w:rsidRPr="005354E4">
        <w:rPr>
          <w:rFonts w:cstheme="minorHAnsi"/>
          <w:b/>
        </w:rPr>
        <w:t>bénéficiaire a été mis en œuvre. À défaut, il doit être précisé à l’utilisateur</w:t>
      </w:r>
      <w:r w:rsidRPr="005354E4">
        <w:rPr>
          <w:rFonts w:cstheme="minorHAnsi"/>
          <w:b/>
        </w:rPr>
        <w:t xml:space="preserve"> que le champ « Nom du bénéficiaire » est exclusivement destiné à faciliter le suivi des opérations par le client qui émet des virements, et </w:t>
      </w:r>
      <w:r w:rsidR="00687BB7" w:rsidRPr="005354E4">
        <w:rPr>
          <w:rFonts w:cstheme="minorHAnsi"/>
          <w:b/>
        </w:rPr>
        <w:t xml:space="preserve">que son contenu ne </w:t>
      </w:r>
      <w:r w:rsidRPr="005354E4">
        <w:rPr>
          <w:rFonts w:cstheme="minorHAnsi"/>
          <w:b/>
        </w:rPr>
        <w:t xml:space="preserve">fait l’objet d’aucun contrôle de concordance avec </w:t>
      </w:r>
      <w:r w:rsidR="00946FDE" w:rsidRPr="005354E4">
        <w:rPr>
          <w:rFonts w:cstheme="minorHAnsi"/>
          <w:b/>
        </w:rPr>
        <w:t xml:space="preserve">l’identité du titulaire de </w:t>
      </w:r>
      <w:r w:rsidRPr="005354E4">
        <w:rPr>
          <w:rFonts w:cstheme="minorHAnsi"/>
          <w:b/>
        </w:rPr>
        <w:t>l’IBAN du bénéficiaire.</w:t>
      </w:r>
    </w:p>
    <w:p w14:paraId="2048866C" w14:textId="77777777" w:rsidR="005143F5" w:rsidRPr="005354E4" w:rsidRDefault="005143F5" w:rsidP="00373761">
      <w:pPr>
        <w:pBdr>
          <w:top w:val="triple" w:sz="4" w:space="1" w:color="000099"/>
          <w:left w:val="triple" w:sz="4" w:space="4" w:color="000099"/>
          <w:bottom w:val="triple" w:sz="4" w:space="1" w:color="000099"/>
          <w:right w:val="triple" w:sz="4" w:space="4" w:color="000099"/>
        </w:pBdr>
        <w:jc w:val="both"/>
        <w:rPr>
          <w:rFonts w:cstheme="minorHAnsi"/>
          <w:b/>
        </w:rPr>
      </w:pPr>
      <w:r w:rsidRPr="005354E4">
        <w:rPr>
          <w:rFonts w:cstheme="minorHAnsi"/>
          <w:b/>
        </w:rPr>
        <w:t xml:space="preserve">Par ailleurs, les prestataires de services de paiement </w:t>
      </w:r>
      <w:r w:rsidR="00687BB7" w:rsidRPr="005354E4">
        <w:rPr>
          <w:rFonts w:cstheme="minorHAnsi"/>
          <w:b/>
        </w:rPr>
        <w:t>établis en France</w:t>
      </w:r>
      <w:r w:rsidRPr="005354E4">
        <w:rPr>
          <w:rFonts w:cstheme="minorHAnsi"/>
          <w:b/>
        </w:rPr>
        <w:t xml:space="preserve"> sont encouragés à explorer</w:t>
      </w:r>
      <w:r w:rsidR="00B05873" w:rsidRPr="005354E4">
        <w:rPr>
          <w:rFonts w:cstheme="minorHAnsi"/>
          <w:b/>
        </w:rPr>
        <w:t xml:space="preserve"> par anticipation</w:t>
      </w:r>
      <w:r w:rsidRPr="005354E4">
        <w:rPr>
          <w:rFonts w:cstheme="minorHAnsi"/>
          <w:b/>
        </w:rPr>
        <w:t xml:space="preserve"> la possibilité d’implémenter au plus tôt un service de confirmation du bénéficiaire tel qu’envisagé par la Commission européenne dans sa proposition de révision du règlement SEPA.</w:t>
      </w:r>
    </w:p>
    <w:p w14:paraId="1959AAB7" w14:textId="77777777" w:rsidR="00861FCF" w:rsidRDefault="00861FCF" w:rsidP="00B85880">
      <w:pPr>
        <w:jc w:val="both"/>
        <w:rPr>
          <w:rFonts w:cstheme="minorHAnsi"/>
          <w:b/>
        </w:rPr>
      </w:pPr>
    </w:p>
    <w:p w14:paraId="1FF6DAEA" w14:textId="77777777" w:rsidR="00B85880" w:rsidRPr="005354E4" w:rsidRDefault="00B85880" w:rsidP="00B85880">
      <w:pPr>
        <w:jc w:val="both"/>
        <w:rPr>
          <w:rFonts w:cstheme="minorHAnsi"/>
          <w:b/>
        </w:rPr>
      </w:pPr>
      <w:r w:rsidRPr="005354E4">
        <w:rPr>
          <w:rFonts w:cstheme="minorHAnsi"/>
          <w:b/>
        </w:rPr>
        <w:t xml:space="preserve">6.3 </w:t>
      </w:r>
      <w:r w:rsidR="004B12B4" w:rsidRPr="005354E4">
        <w:rPr>
          <w:rFonts w:cstheme="minorHAnsi"/>
          <w:b/>
        </w:rPr>
        <w:t xml:space="preserve">Information et options présentées </w:t>
      </w:r>
      <w:r w:rsidR="005A28DE" w:rsidRPr="005354E4">
        <w:rPr>
          <w:rFonts w:cstheme="minorHAnsi"/>
          <w:b/>
        </w:rPr>
        <w:t>à l’utilisateur du service de paiement</w:t>
      </w:r>
      <w:r w:rsidR="004B12B4" w:rsidRPr="005354E4">
        <w:rPr>
          <w:rFonts w:cstheme="minorHAnsi"/>
          <w:b/>
        </w:rPr>
        <w:t xml:space="preserve"> au moment de l’authentification forte</w:t>
      </w:r>
    </w:p>
    <w:p w14:paraId="5C3911D5" w14:textId="77777777" w:rsidR="00AE6143" w:rsidRPr="005354E4" w:rsidRDefault="004B12B4" w:rsidP="00B85880">
      <w:pPr>
        <w:jc w:val="both"/>
        <w:rPr>
          <w:rFonts w:cstheme="minorHAnsi"/>
        </w:rPr>
      </w:pPr>
      <w:r w:rsidRPr="005354E4">
        <w:rPr>
          <w:rFonts w:cstheme="minorHAnsi"/>
        </w:rPr>
        <w:t xml:space="preserve">Dans le cas de fraude par manipulation, </w:t>
      </w:r>
      <w:r w:rsidR="00AE6143" w:rsidRPr="005354E4">
        <w:rPr>
          <w:rFonts w:cstheme="minorHAnsi"/>
        </w:rPr>
        <w:t xml:space="preserve">le fraudeur s’appuie sur l’emprise qu’il exerce sur sa victime pour l’amener à passer outre </w:t>
      </w:r>
      <w:r w:rsidR="005A28DE" w:rsidRPr="005354E4">
        <w:rPr>
          <w:rFonts w:cstheme="minorHAnsi"/>
        </w:rPr>
        <w:t xml:space="preserve">l’ensemble des messages et </w:t>
      </w:r>
      <w:r w:rsidR="00AE6143" w:rsidRPr="005354E4">
        <w:rPr>
          <w:rFonts w:cstheme="minorHAnsi"/>
        </w:rPr>
        <w:t xml:space="preserve">alertes adressés par </w:t>
      </w:r>
      <w:r w:rsidR="005A28DE" w:rsidRPr="005354E4">
        <w:rPr>
          <w:rFonts w:cstheme="minorHAnsi"/>
        </w:rPr>
        <w:t>le prestataire de services de paiement. Cette manipulation est facilité</w:t>
      </w:r>
      <w:r w:rsidR="0091671D" w:rsidRPr="005354E4">
        <w:rPr>
          <w:rFonts w:cstheme="minorHAnsi"/>
        </w:rPr>
        <w:t>e</w:t>
      </w:r>
      <w:r w:rsidR="005A28DE" w:rsidRPr="005354E4">
        <w:rPr>
          <w:rFonts w:cstheme="minorHAnsi"/>
        </w:rPr>
        <w:t xml:space="preserve"> </w:t>
      </w:r>
      <w:r w:rsidR="0091671D" w:rsidRPr="005354E4">
        <w:rPr>
          <w:rFonts w:cstheme="minorHAnsi"/>
        </w:rPr>
        <w:t>lorsque ces messages et alertes sont insuffisamment précis et exhaustifs sur la</w:t>
      </w:r>
      <w:r w:rsidR="00AE6143" w:rsidRPr="005354E4">
        <w:rPr>
          <w:rFonts w:cstheme="minorHAnsi"/>
        </w:rPr>
        <w:t xml:space="preserve"> nature </w:t>
      </w:r>
      <w:r w:rsidR="0091671D" w:rsidRPr="005354E4">
        <w:rPr>
          <w:rFonts w:cstheme="minorHAnsi"/>
        </w:rPr>
        <w:t xml:space="preserve">et les caractéristiques </w:t>
      </w:r>
      <w:r w:rsidR="00AE6143" w:rsidRPr="005354E4">
        <w:rPr>
          <w:rFonts w:cstheme="minorHAnsi"/>
        </w:rPr>
        <w:t xml:space="preserve">de l’opération </w:t>
      </w:r>
      <w:r w:rsidR="0091671D" w:rsidRPr="005354E4">
        <w:rPr>
          <w:rFonts w:cstheme="minorHAnsi"/>
        </w:rPr>
        <w:t>en attente de</w:t>
      </w:r>
      <w:r w:rsidR="00AE6143" w:rsidRPr="005354E4">
        <w:rPr>
          <w:rFonts w:cstheme="minorHAnsi"/>
        </w:rPr>
        <w:t xml:space="preserve"> validation. Le renforcement </w:t>
      </w:r>
      <w:r w:rsidR="0091671D" w:rsidRPr="005354E4">
        <w:rPr>
          <w:rFonts w:cstheme="minorHAnsi"/>
        </w:rPr>
        <w:t>du caractère explicite et de l’exhaustivité</w:t>
      </w:r>
      <w:r w:rsidR="00AE6143" w:rsidRPr="005354E4">
        <w:rPr>
          <w:rFonts w:cstheme="minorHAnsi"/>
        </w:rPr>
        <w:t xml:space="preserve"> de l’information présentée, mais aussi du choix donné à l’utilisateur durant </w:t>
      </w:r>
      <w:r w:rsidR="00517CFD" w:rsidRPr="005354E4">
        <w:rPr>
          <w:rFonts w:cstheme="minorHAnsi"/>
        </w:rPr>
        <w:t>son</w:t>
      </w:r>
      <w:r w:rsidR="00AE6143" w:rsidRPr="005354E4">
        <w:rPr>
          <w:rFonts w:cstheme="minorHAnsi"/>
        </w:rPr>
        <w:t xml:space="preserve"> parcours</w:t>
      </w:r>
      <w:r w:rsidR="00517CFD" w:rsidRPr="005354E4">
        <w:rPr>
          <w:rFonts w:cstheme="minorHAnsi"/>
        </w:rPr>
        <w:t xml:space="preserve"> d’authentification</w:t>
      </w:r>
      <w:r w:rsidR="00AE6143" w:rsidRPr="005354E4">
        <w:rPr>
          <w:rFonts w:cstheme="minorHAnsi"/>
        </w:rPr>
        <w:t xml:space="preserve">, </w:t>
      </w:r>
      <w:r w:rsidR="0091671D" w:rsidRPr="005354E4">
        <w:rPr>
          <w:rFonts w:cstheme="minorHAnsi"/>
        </w:rPr>
        <w:t>constituent des mesures efficaces de prévention de la fraude par manipulation</w:t>
      </w:r>
      <w:r w:rsidR="00AE6143" w:rsidRPr="005354E4">
        <w:rPr>
          <w:rFonts w:cstheme="minorHAnsi"/>
        </w:rPr>
        <w:t>.</w:t>
      </w:r>
    </w:p>
    <w:p w14:paraId="146DF585" w14:textId="77777777" w:rsidR="00861FCF" w:rsidRDefault="00861FCF">
      <w:pPr>
        <w:rPr>
          <w:rFonts w:cstheme="minorHAnsi"/>
          <w:b/>
          <w:color w:val="000099"/>
        </w:rPr>
      </w:pPr>
      <w:r>
        <w:rPr>
          <w:rFonts w:cstheme="minorHAnsi"/>
          <w:b/>
          <w:color w:val="000099"/>
        </w:rPr>
        <w:br w:type="page"/>
      </w:r>
    </w:p>
    <w:p w14:paraId="59709A53" w14:textId="77777777" w:rsidR="00B85880" w:rsidRPr="005354E4" w:rsidRDefault="00B85880" w:rsidP="00B85880">
      <w:pPr>
        <w:pBdr>
          <w:top w:val="triple" w:sz="4" w:space="1" w:color="000099"/>
          <w:left w:val="triple" w:sz="4" w:space="4" w:color="000099"/>
          <w:bottom w:val="triple" w:sz="4" w:space="1" w:color="000099"/>
          <w:right w:val="triple" w:sz="4" w:space="4" w:color="000099"/>
        </w:pBdr>
        <w:jc w:val="both"/>
        <w:rPr>
          <w:rFonts w:cstheme="minorHAnsi"/>
          <w:b/>
          <w:color w:val="000099"/>
        </w:rPr>
      </w:pPr>
      <w:r w:rsidRPr="005354E4">
        <w:rPr>
          <w:rFonts w:cstheme="minorHAnsi"/>
          <w:b/>
          <w:color w:val="000099"/>
        </w:rPr>
        <w:t>Recommandation n°</w:t>
      </w:r>
      <w:r w:rsidR="0091671D" w:rsidRPr="005354E4">
        <w:rPr>
          <w:rFonts w:cstheme="minorHAnsi"/>
          <w:b/>
          <w:color w:val="000099"/>
        </w:rPr>
        <w:t> </w:t>
      </w:r>
      <w:r w:rsidRPr="005354E4">
        <w:rPr>
          <w:rFonts w:cstheme="minorHAnsi"/>
          <w:b/>
          <w:color w:val="000099"/>
        </w:rPr>
        <w:t xml:space="preserve">11 : </w:t>
      </w:r>
      <w:r w:rsidR="0091671D" w:rsidRPr="005354E4">
        <w:rPr>
          <w:rFonts w:cstheme="minorHAnsi"/>
          <w:b/>
          <w:color w:val="000099"/>
        </w:rPr>
        <w:t>i</w:t>
      </w:r>
      <w:r w:rsidR="00AE6143" w:rsidRPr="005354E4">
        <w:rPr>
          <w:rFonts w:cstheme="minorHAnsi"/>
          <w:b/>
          <w:color w:val="000099"/>
        </w:rPr>
        <w:t xml:space="preserve">nformation et options présentées </w:t>
      </w:r>
      <w:r w:rsidR="0091671D" w:rsidRPr="005354E4">
        <w:rPr>
          <w:rFonts w:cstheme="minorHAnsi"/>
          <w:b/>
          <w:color w:val="000099"/>
        </w:rPr>
        <w:t>à l’utilisateur</w:t>
      </w:r>
      <w:r w:rsidR="00AE6143" w:rsidRPr="005354E4">
        <w:rPr>
          <w:rFonts w:cstheme="minorHAnsi"/>
          <w:b/>
          <w:color w:val="000099"/>
        </w:rPr>
        <w:t xml:space="preserve"> </w:t>
      </w:r>
      <w:r w:rsidR="0091671D" w:rsidRPr="005354E4">
        <w:rPr>
          <w:rFonts w:cstheme="minorHAnsi"/>
          <w:b/>
          <w:color w:val="000099"/>
        </w:rPr>
        <w:t>au moment</w:t>
      </w:r>
      <w:r w:rsidR="00AE6143" w:rsidRPr="005354E4">
        <w:rPr>
          <w:rFonts w:cstheme="minorHAnsi"/>
          <w:b/>
          <w:color w:val="000099"/>
        </w:rPr>
        <w:t xml:space="preserve"> de l’authentification forte</w:t>
      </w:r>
    </w:p>
    <w:p w14:paraId="4FDD4608" w14:textId="77777777" w:rsidR="009B4DD5" w:rsidRDefault="00B85880" w:rsidP="00517CFD">
      <w:pPr>
        <w:pBdr>
          <w:top w:val="triple" w:sz="4" w:space="1" w:color="000099"/>
          <w:left w:val="triple" w:sz="4" w:space="4" w:color="000099"/>
          <w:bottom w:val="triple" w:sz="4" w:space="1" w:color="000099"/>
          <w:right w:val="triple" w:sz="4" w:space="4" w:color="000099"/>
        </w:pBdr>
        <w:jc w:val="both"/>
        <w:rPr>
          <w:rFonts w:cstheme="minorHAnsi"/>
          <w:b/>
        </w:rPr>
      </w:pPr>
      <w:r w:rsidRPr="009B4DD5">
        <w:rPr>
          <w:rFonts w:cstheme="minorHAnsi"/>
          <w:b/>
        </w:rPr>
        <w:t xml:space="preserve">Les </w:t>
      </w:r>
      <w:r w:rsidR="00AE6143" w:rsidRPr="005354E4">
        <w:rPr>
          <w:rFonts w:cstheme="minorHAnsi"/>
          <w:b/>
        </w:rPr>
        <w:t xml:space="preserve">prestataires de services de paiement veillent à présenter à </w:t>
      </w:r>
      <w:r w:rsidR="0091671D" w:rsidRPr="005354E4">
        <w:rPr>
          <w:rFonts w:cstheme="minorHAnsi"/>
          <w:b/>
        </w:rPr>
        <w:t>l’utilisateur,</w:t>
      </w:r>
      <w:r w:rsidR="00AE6143" w:rsidRPr="005354E4">
        <w:rPr>
          <w:rFonts w:cstheme="minorHAnsi"/>
          <w:b/>
        </w:rPr>
        <w:t xml:space="preserve"> </w:t>
      </w:r>
      <w:r w:rsidR="0091671D" w:rsidRPr="005354E4">
        <w:rPr>
          <w:rFonts w:cstheme="minorHAnsi"/>
          <w:b/>
        </w:rPr>
        <w:t xml:space="preserve">à chaque </w:t>
      </w:r>
      <w:r w:rsidR="00AE6143" w:rsidRPr="005354E4">
        <w:rPr>
          <w:rFonts w:cstheme="minorHAnsi"/>
          <w:b/>
        </w:rPr>
        <w:t xml:space="preserve">étape </w:t>
      </w:r>
      <w:r w:rsidR="0091671D" w:rsidRPr="005354E4">
        <w:rPr>
          <w:rFonts w:cstheme="minorHAnsi"/>
          <w:b/>
        </w:rPr>
        <w:t xml:space="preserve">du processus </w:t>
      </w:r>
      <w:r w:rsidR="00AE6143" w:rsidRPr="005354E4">
        <w:rPr>
          <w:rFonts w:cstheme="minorHAnsi"/>
          <w:b/>
        </w:rPr>
        <w:t>d’authentification</w:t>
      </w:r>
      <w:r w:rsidR="0091671D" w:rsidRPr="005354E4">
        <w:rPr>
          <w:rFonts w:cstheme="minorHAnsi"/>
          <w:b/>
        </w:rPr>
        <w:t>,</w:t>
      </w:r>
      <w:r w:rsidR="00AE6143" w:rsidRPr="005354E4">
        <w:rPr>
          <w:rFonts w:cstheme="minorHAnsi"/>
          <w:b/>
        </w:rPr>
        <w:t xml:space="preserve"> une information explicite quant à la nature de l’opération, et mentionnant notamment </w:t>
      </w:r>
      <w:r w:rsidR="0091671D" w:rsidRPr="005354E4">
        <w:rPr>
          <w:rFonts w:cstheme="minorHAnsi"/>
          <w:b/>
        </w:rPr>
        <w:t>le</w:t>
      </w:r>
      <w:r w:rsidR="00AE6143" w:rsidRPr="005354E4">
        <w:rPr>
          <w:rFonts w:cstheme="minorHAnsi"/>
          <w:b/>
        </w:rPr>
        <w:t xml:space="preserve"> montant, </w:t>
      </w:r>
      <w:r w:rsidR="0091671D" w:rsidRPr="005354E4">
        <w:rPr>
          <w:rFonts w:cstheme="minorHAnsi"/>
          <w:b/>
        </w:rPr>
        <w:t>le</w:t>
      </w:r>
      <w:r w:rsidR="00AE6143" w:rsidRPr="005354E4">
        <w:rPr>
          <w:rFonts w:cstheme="minorHAnsi"/>
          <w:b/>
        </w:rPr>
        <w:t xml:space="preserve"> bénéficiaire, </w:t>
      </w:r>
      <w:r w:rsidR="0091671D" w:rsidRPr="005354E4">
        <w:rPr>
          <w:rFonts w:cstheme="minorHAnsi"/>
          <w:b/>
        </w:rPr>
        <w:t>le</w:t>
      </w:r>
      <w:r w:rsidR="00AE6143" w:rsidRPr="005354E4">
        <w:rPr>
          <w:rFonts w:cstheme="minorHAnsi"/>
          <w:b/>
        </w:rPr>
        <w:t xml:space="preserve"> caractère unique ou </w:t>
      </w:r>
      <w:r w:rsidR="0091671D" w:rsidRPr="005354E4">
        <w:rPr>
          <w:rFonts w:cstheme="minorHAnsi"/>
          <w:b/>
        </w:rPr>
        <w:t>récurrent de l’opération, la périodicité dans le cas d’une opération récurrente</w:t>
      </w:r>
      <w:r w:rsidR="00AE6143" w:rsidRPr="005354E4">
        <w:rPr>
          <w:rFonts w:cstheme="minorHAnsi"/>
          <w:b/>
        </w:rPr>
        <w:t xml:space="preserve"> </w:t>
      </w:r>
      <w:r w:rsidR="0091671D" w:rsidRPr="005354E4">
        <w:rPr>
          <w:rFonts w:cstheme="minorHAnsi"/>
          <w:b/>
        </w:rPr>
        <w:t>ainsi que le caractère irrévocable de la validation de l’ordre de paiement</w:t>
      </w:r>
      <w:r w:rsidR="00AE6143" w:rsidRPr="005354E4">
        <w:rPr>
          <w:rFonts w:cstheme="minorHAnsi"/>
          <w:b/>
        </w:rPr>
        <w:t>.</w:t>
      </w:r>
      <w:r w:rsidR="00D931E6" w:rsidRPr="005354E4">
        <w:rPr>
          <w:rFonts w:cstheme="minorHAnsi"/>
          <w:b/>
        </w:rPr>
        <w:t xml:space="preserve"> Dans le cas d</w:t>
      </w:r>
      <w:r w:rsidR="003F532A" w:rsidRPr="005354E4">
        <w:rPr>
          <w:rFonts w:cstheme="minorHAnsi"/>
          <w:b/>
        </w:rPr>
        <w:t>’un premier</w:t>
      </w:r>
      <w:r w:rsidR="00D931E6" w:rsidRPr="005354E4">
        <w:rPr>
          <w:rFonts w:cstheme="minorHAnsi"/>
          <w:b/>
        </w:rPr>
        <w:t xml:space="preserve"> virement</w:t>
      </w:r>
      <w:r w:rsidR="003F532A" w:rsidRPr="005354E4">
        <w:rPr>
          <w:rFonts w:cstheme="minorHAnsi"/>
          <w:b/>
        </w:rPr>
        <w:t xml:space="preserve"> vers un compte donné</w:t>
      </w:r>
      <w:r w:rsidR="00D931E6" w:rsidRPr="005354E4">
        <w:rPr>
          <w:rFonts w:cstheme="minorHAnsi"/>
          <w:b/>
        </w:rPr>
        <w:t>, lorsque l</w:t>
      </w:r>
      <w:r w:rsidR="003F532A" w:rsidRPr="005354E4">
        <w:rPr>
          <w:rFonts w:cstheme="minorHAnsi"/>
          <w:b/>
        </w:rPr>
        <w:t>a concordance entre l</w:t>
      </w:r>
      <w:r w:rsidR="00D931E6" w:rsidRPr="005354E4">
        <w:rPr>
          <w:rFonts w:cstheme="minorHAnsi"/>
          <w:b/>
        </w:rPr>
        <w:t>’identité du bénéficiaire</w:t>
      </w:r>
      <w:r w:rsidR="003F532A" w:rsidRPr="005354E4">
        <w:rPr>
          <w:rFonts w:cstheme="minorHAnsi"/>
          <w:b/>
        </w:rPr>
        <w:t xml:space="preserve"> et l’IBAN fournis</w:t>
      </w:r>
      <w:r w:rsidR="00D931E6" w:rsidRPr="005354E4">
        <w:rPr>
          <w:rFonts w:cstheme="minorHAnsi"/>
          <w:b/>
        </w:rPr>
        <w:t xml:space="preserve"> n’a pas </w:t>
      </w:r>
      <w:r w:rsidR="003F532A" w:rsidRPr="005354E4">
        <w:rPr>
          <w:rFonts w:cstheme="minorHAnsi"/>
          <w:b/>
        </w:rPr>
        <w:t>fait l’objet d’un</w:t>
      </w:r>
      <w:r w:rsidR="00D931E6" w:rsidRPr="005354E4">
        <w:rPr>
          <w:rFonts w:cstheme="minorHAnsi"/>
          <w:b/>
        </w:rPr>
        <w:t xml:space="preserve"> contrôle, le parcours d’authentification le rappelle explicitement.</w:t>
      </w:r>
    </w:p>
    <w:p w14:paraId="76D47F9D" w14:textId="77777777" w:rsidR="00B85880" w:rsidRPr="005354E4" w:rsidRDefault="003E58AD" w:rsidP="00517CFD">
      <w:pPr>
        <w:pBdr>
          <w:top w:val="triple" w:sz="4" w:space="1" w:color="000099"/>
          <w:left w:val="triple" w:sz="4" w:space="4" w:color="000099"/>
          <w:bottom w:val="triple" w:sz="4" w:space="1" w:color="000099"/>
          <w:right w:val="triple" w:sz="4" w:space="4" w:color="000099"/>
        </w:pBdr>
        <w:jc w:val="both"/>
        <w:rPr>
          <w:rFonts w:cstheme="minorHAnsi"/>
          <w:b/>
        </w:rPr>
      </w:pPr>
      <w:r w:rsidRPr="005354E4">
        <w:rPr>
          <w:rFonts w:cstheme="minorHAnsi"/>
          <w:b/>
        </w:rPr>
        <w:t>Pa</w:t>
      </w:r>
      <w:r w:rsidR="00AE6143" w:rsidRPr="005354E4">
        <w:rPr>
          <w:rFonts w:cstheme="minorHAnsi"/>
          <w:b/>
        </w:rPr>
        <w:t xml:space="preserve">r ailleurs, </w:t>
      </w:r>
      <w:r w:rsidR="00D931E6" w:rsidRPr="005354E4">
        <w:rPr>
          <w:rFonts w:cstheme="minorHAnsi"/>
          <w:b/>
        </w:rPr>
        <w:t xml:space="preserve">les </w:t>
      </w:r>
      <w:r w:rsidRPr="005354E4">
        <w:rPr>
          <w:rFonts w:cstheme="minorHAnsi"/>
          <w:b/>
        </w:rPr>
        <w:t xml:space="preserve">prestataires de services de paiement veillent à ce que le </w:t>
      </w:r>
      <w:r w:rsidR="00D931E6" w:rsidRPr="005354E4">
        <w:rPr>
          <w:rFonts w:cstheme="minorHAnsi"/>
          <w:b/>
        </w:rPr>
        <w:t>parcours d’authentification</w:t>
      </w:r>
      <w:r w:rsidR="00AE6143" w:rsidRPr="005354E4">
        <w:rPr>
          <w:rFonts w:cstheme="minorHAnsi"/>
          <w:b/>
        </w:rPr>
        <w:t xml:space="preserve"> propose </w:t>
      </w:r>
      <w:r w:rsidR="00981D3E" w:rsidRPr="005354E4">
        <w:rPr>
          <w:rFonts w:cstheme="minorHAnsi"/>
          <w:b/>
        </w:rPr>
        <w:t xml:space="preserve">de manière explicite </w:t>
      </w:r>
      <w:r w:rsidR="00AE6143" w:rsidRPr="005354E4">
        <w:rPr>
          <w:rFonts w:cstheme="minorHAnsi"/>
          <w:b/>
        </w:rPr>
        <w:t xml:space="preserve">une option permettant de </w:t>
      </w:r>
      <w:r w:rsidR="00D92C26" w:rsidRPr="005354E4">
        <w:rPr>
          <w:rFonts w:cstheme="minorHAnsi"/>
          <w:b/>
        </w:rPr>
        <w:t>refuser</w:t>
      </w:r>
      <w:r w:rsidR="00AE6143" w:rsidRPr="005354E4">
        <w:rPr>
          <w:rFonts w:cstheme="minorHAnsi"/>
          <w:b/>
        </w:rPr>
        <w:t xml:space="preserve"> l</w:t>
      </w:r>
      <w:r w:rsidRPr="005354E4">
        <w:rPr>
          <w:rFonts w:cstheme="minorHAnsi"/>
          <w:b/>
        </w:rPr>
        <w:t>’opération.</w:t>
      </w:r>
    </w:p>
    <w:p w14:paraId="51309AA7" w14:textId="77777777" w:rsidR="00806743" w:rsidRDefault="00806743">
      <w:pPr>
        <w:rPr>
          <w:rFonts w:cstheme="minorHAnsi"/>
          <w:b/>
        </w:rPr>
      </w:pPr>
    </w:p>
    <w:p w14:paraId="50A9D2CE" w14:textId="77777777" w:rsidR="00C86DF1" w:rsidRPr="005354E4" w:rsidRDefault="00C86DF1" w:rsidP="00AA76B8">
      <w:pPr>
        <w:jc w:val="both"/>
        <w:rPr>
          <w:rFonts w:cstheme="minorHAnsi"/>
          <w:b/>
        </w:rPr>
      </w:pPr>
      <w:r w:rsidRPr="005354E4">
        <w:rPr>
          <w:rFonts w:cstheme="minorHAnsi"/>
          <w:b/>
        </w:rPr>
        <w:t>6.4 Simplicité d’accès aux procédures de blocage des instruments de paiement</w:t>
      </w:r>
    </w:p>
    <w:p w14:paraId="1E091662" w14:textId="77777777" w:rsidR="003F532A" w:rsidRPr="005354E4" w:rsidRDefault="003F532A" w:rsidP="004B12B4">
      <w:pPr>
        <w:jc w:val="both"/>
        <w:rPr>
          <w:rFonts w:cstheme="minorHAnsi"/>
        </w:rPr>
      </w:pPr>
      <w:r w:rsidRPr="005354E4">
        <w:rPr>
          <w:rFonts w:cstheme="minorHAnsi"/>
        </w:rPr>
        <w:t>Dans le cas où l’utilisateur détecte une activité anormale sur ses comptes ou instruments de paiement ou identifie une faille dans la protection de ses données, il doit pouvoir mettre en opposition les instruments de paiement concernés auprès de son prestataire de services de paiement. Cette procédure doit être simple d’accès afin d’assurer la meilleure réactivité possible, à l’instar du centre de mise en opposition qui existe aujourd’hui pour les cartes de paiement.</w:t>
      </w:r>
    </w:p>
    <w:p w14:paraId="5DAC7681" w14:textId="77777777" w:rsidR="00AA76B8" w:rsidRPr="005354E4" w:rsidRDefault="00C86DF1" w:rsidP="00C86DF1">
      <w:pPr>
        <w:pBdr>
          <w:top w:val="triple" w:sz="4" w:space="1" w:color="000099"/>
          <w:left w:val="triple" w:sz="4" w:space="4" w:color="000099"/>
          <w:bottom w:val="triple" w:sz="4" w:space="1" w:color="000099"/>
          <w:right w:val="triple" w:sz="4" w:space="4" w:color="000099"/>
        </w:pBdr>
        <w:jc w:val="both"/>
        <w:rPr>
          <w:rFonts w:cstheme="minorHAnsi"/>
          <w:b/>
          <w:color w:val="000099"/>
        </w:rPr>
      </w:pPr>
      <w:r w:rsidRPr="005354E4">
        <w:rPr>
          <w:rFonts w:cstheme="minorHAnsi"/>
          <w:b/>
          <w:color w:val="000099"/>
        </w:rPr>
        <w:t xml:space="preserve">Recommandation n° 12 : </w:t>
      </w:r>
      <w:r w:rsidR="003F532A" w:rsidRPr="005354E4">
        <w:rPr>
          <w:rFonts w:cstheme="minorHAnsi"/>
          <w:b/>
          <w:color w:val="000099"/>
        </w:rPr>
        <w:t>simplicité d’accès aux procédures de blocage des instruments de paiement</w:t>
      </w:r>
    </w:p>
    <w:p w14:paraId="3C4B28F3" w14:textId="77777777" w:rsidR="00C86DF1" w:rsidRPr="005354E4" w:rsidRDefault="00C86DF1" w:rsidP="00C86DF1">
      <w:pPr>
        <w:pBdr>
          <w:top w:val="triple" w:sz="4" w:space="1" w:color="000099"/>
          <w:left w:val="triple" w:sz="4" w:space="4" w:color="000099"/>
          <w:bottom w:val="triple" w:sz="4" w:space="1" w:color="000099"/>
          <w:right w:val="triple" w:sz="4" w:space="4" w:color="000099"/>
        </w:pBdr>
        <w:jc w:val="both"/>
        <w:rPr>
          <w:rFonts w:cstheme="minorHAnsi"/>
          <w:b/>
        </w:rPr>
      </w:pPr>
      <w:r w:rsidRPr="005354E4">
        <w:rPr>
          <w:rFonts w:cstheme="minorHAnsi"/>
          <w:b/>
        </w:rPr>
        <w:t>Les prestataires de services de paiement mettent à disposition de leurs utilisateurs</w:t>
      </w:r>
      <w:r w:rsidR="001D3494" w:rsidRPr="005354E4">
        <w:rPr>
          <w:rFonts w:cstheme="minorHAnsi"/>
          <w:b/>
        </w:rPr>
        <w:t xml:space="preserve"> </w:t>
      </w:r>
      <w:r w:rsidRPr="005354E4">
        <w:rPr>
          <w:rFonts w:cstheme="minorHAnsi"/>
          <w:b/>
        </w:rPr>
        <w:t xml:space="preserve">des mécanismes de blocage </w:t>
      </w:r>
      <w:r w:rsidR="00836E20" w:rsidRPr="005354E4">
        <w:rPr>
          <w:rFonts w:cstheme="minorHAnsi"/>
          <w:b/>
        </w:rPr>
        <w:t>pour chacun des</w:t>
      </w:r>
      <w:r w:rsidRPr="005354E4">
        <w:rPr>
          <w:rFonts w:cstheme="minorHAnsi"/>
          <w:b/>
        </w:rPr>
        <w:t xml:space="preserve"> instruments de paiement</w:t>
      </w:r>
      <w:r w:rsidR="009F3427" w:rsidRPr="005354E4">
        <w:rPr>
          <w:rFonts w:cstheme="minorHAnsi"/>
          <w:b/>
        </w:rPr>
        <w:t xml:space="preserve"> et veillent à ce qu’ils soient facilement accessibles</w:t>
      </w:r>
      <w:r w:rsidR="0021315B" w:rsidRPr="005354E4">
        <w:rPr>
          <w:rFonts w:cstheme="minorHAnsi"/>
          <w:b/>
        </w:rPr>
        <w:t>, gratuits,</w:t>
      </w:r>
      <w:r w:rsidR="00836E20" w:rsidRPr="005354E4">
        <w:rPr>
          <w:rFonts w:cstheme="minorHAnsi"/>
          <w:b/>
        </w:rPr>
        <w:t xml:space="preserve"> et utilisables à tout moment</w:t>
      </w:r>
      <w:r w:rsidRPr="005354E4">
        <w:rPr>
          <w:rFonts w:cstheme="minorHAnsi"/>
          <w:b/>
        </w:rPr>
        <w:t>.</w:t>
      </w:r>
    </w:p>
    <w:p w14:paraId="2A6ED64F" w14:textId="77777777" w:rsidR="009F3427" w:rsidRPr="005354E4" w:rsidRDefault="009F3427" w:rsidP="00C86DF1">
      <w:pPr>
        <w:pBdr>
          <w:top w:val="triple" w:sz="4" w:space="1" w:color="000099"/>
          <w:left w:val="triple" w:sz="4" w:space="4" w:color="000099"/>
          <w:bottom w:val="triple" w:sz="4" w:space="1" w:color="000099"/>
          <w:right w:val="triple" w:sz="4" w:space="4" w:color="000099"/>
        </w:pBdr>
        <w:jc w:val="both"/>
        <w:rPr>
          <w:rFonts w:cstheme="minorHAnsi"/>
          <w:b/>
        </w:rPr>
      </w:pPr>
      <w:r w:rsidRPr="005354E4">
        <w:rPr>
          <w:rFonts w:cstheme="minorHAnsi"/>
          <w:i/>
          <w:color w:val="1F4E79" w:themeColor="accent1" w:themeShade="80"/>
          <w:u w:val="single"/>
        </w:rPr>
        <w:t>Références </w:t>
      </w:r>
      <w:r w:rsidRPr="005354E4">
        <w:rPr>
          <w:rFonts w:cstheme="minorHAnsi"/>
          <w:i/>
          <w:color w:val="1F4E79" w:themeColor="accent1" w:themeShade="80"/>
        </w:rPr>
        <w:t>: articles L133-15 et L133-17 du CMF</w:t>
      </w:r>
    </w:p>
    <w:p w14:paraId="79205AFB" w14:textId="77777777" w:rsidR="00861FCF" w:rsidRDefault="00861FCF" w:rsidP="004B12B4">
      <w:pPr>
        <w:jc w:val="both"/>
        <w:rPr>
          <w:rFonts w:cstheme="minorHAnsi"/>
          <w:b/>
        </w:rPr>
      </w:pPr>
    </w:p>
    <w:p w14:paraId="694F378E" w14:textId="77777777" w:rsidR="004B12B4" w:rsidRPr="005354E4" w:rsidRDefault="004B12B4" w:rsidP="004B12B4">
      <w:pPr>
        <w:jc w:val="both"/>
        <w:rPr>
          <w:rFonts w:cstheme="minorHAnsi"/>
          <w:b/>
        </w:rPr>
      </w:pPr>
      <w:r w:rsidRPr="005354E4">
        <w:rPr>
          <w:rFonts w:cstheme="minorHAnsi"/>
          <w:b/>
        </w:rPr>
        <w:t>6.</w:t>
      </w:r>
      <w:r w:rsidR="003F532A" w:rsidRPr="005354E4">
        <w:rPr>
          <w:rFonts w:cstheme="minorHAnsi"/>
          <w:b/>
        </w:rPr>
        <w:t>5</w:t>
      </w:r>
      <w:r w:rsidRPr="005354E4">
        <w:rPr>
          <w:rFonts w:cstheme="minorHAnsi"/>
          <w:b/>
        </w:rPr>
        <w:t xml:space="preserve"> Rôle des </w:t>
      </w:r>
      <w:r w:rsidR="00E71D39" w:rsidRPr="005354E4">
        <w:rPr>
          <w:rFonts w:cstheme="minorHAnsi"/>
          <w:b/>
        </w:rPr>
        <w:t>fournisseurs</w:t>
      </w:r>
      <w:r w:rsidRPr="005354E4">
        <w:rPr>
          <w:rFonts w:cstheme="minorHAnsi"/>
          <w:b/>
        </w:rPr>
        <w:t xml:space="preserve"> de </w:t>
      </w:r>
      <w:r w:rsidR="003F532A" w:rsidRPr="005354E4">
        <w:rPr>
          <w:rFonts w:cstheme="minorHAnsi"/>
          <w:b/>
        </w:rPr>
        <w:t xml:space="preserve">services et </w:t>
      </w:r>
      <w:r w:rsidRPr="005354E4">
        <w:rPr>
          <w:rFonts w:cstheme="minorHAnsi"/>
          <w:b/>
        </w:rPr>
        <w:t>technologies de l’information dans la lutte contre la fraude</w:t>
      </w:r>
    </w:p>
    <w:p w14:paraId="1F1343D7" w14:textId="77777777" w:rsidR="004B12B4" w:rsidRPr="005354E4" w:rsidRDefault="004B12B4" w:rsidP="004B12B4">
      <w:pPr>
        <w:jc w:val="both"/>
        <w:rPr>
          <w:rFonts w:cstheme="minorHAnsi"/>
        </w:rPr>
      </w:pPr>
      <w:r w:rsidRPr="005354E4">
        <w:rPr>
          <w:rFonts w:cstheme="minorHAnsi"/>
        </w:rPr>
        <w:t xml:space="preserve">Les opérateurs </w:t>
      </w:r>
      <w:r w:rsidR="00D40DD0" w:rsidRPr="005354E4">
        <w:rPr>
          <w:rFonts w:cstheme="minorHAnsi"/>
        </w:rPr>
        <w:t>de</w:t>
      </w:r>
      <w:r w:rsidRPr="005354E4">
        <w:rPr>
          <w:rFonts w:cstheme="minorHAnsi"/>
        </w:rPr>
        <w:t xml:space="preserve"> téléphonie et </w:t>
      </w:r>
      <w:r w:rsidR="00D40DD0" w:rsidRPr="005354E4">
        <w:rPr>
          <w:rFonts w:cstheme="minorHAnsi"/>
        </w:rPr>
        <w:t xml:space="preserve">les fournisseurs </w:t>
      </w:r>
      <w:r w:rsidRPr="005354E4">
        <w:rPr>
          <w:rFonts w:cstheme="minorHAnsi"/>
        </w:rPr>
        <w:t xml:space="preserve">de services numériques sont des parties prenantes centrales dans la sécurité des opérations </w:t>
      </w:r>
      <w:r w:rsidR="00D40DD0" w:rsidRPr="005354E4">
        <w:rPr>
          <w:rFonts w:cstheme="minorHAnsi"/>
        </w:rPr>
        <w:t>de paiement effectuées à distance</w:t>
      </w:r>
      <w:r w:rsidRPr="005354E4">
        <w:rPr>
          <w:rFonts w:cstheme="minorHAnsi"/>
        </w:rPr>
        <w:t>, pour lesquelles il</w:t>
      </w:r>
      <w:r w:rsidR="0064777E" w:rsidRPr="005354E4">
        <w:rPr>
          <w:rFonts w:cstheme="minorHAnsi"/>
        </w:rPr>
        <w:t>s</w:t>
      </w:r>
      <w:r w:rsidRPr="005354E4">
        <w:rPr>
          <w:rFonts w:cstheme="minorHAnsi"/>
        </w:rPr>
        <w:t xml:space="preserve"> assurent la mise en relation entre les différentes parties et l’échange de données. Ils ont ainsi une responsabilité dans la lutte contre les techniques utilisées par les fraudeurs pour collecter des données de paiement à l’insu de l’utilisateur par des </w:t>
      </w:r>
      <w:r w:rsidR="00D40DD0" w:rsidRPr="005354E4">
        <w:rPr>
          <w:rFonts w:cstheme="minorHAnsi"/>
        </w:rPr>
        <w:t>messages électroniques</w:t>
      </w:r>
      <w:r w:rsidRPr="005354E4">
        <w:rPr>
          <w:rFonts w:cstheme="minorHAnsi"/>
        </w:rPr>
        <w:t xml:space="preserve"> (</w:t>
      </w:r>
      <w:r w:rsidR="00D40DD0" w:rsidRPr="005354E4">
        <w:rPr>
          <w:rFonts w:cstheme="minorHAnsi"/>
        </w:rPr>
        <w:t>hameçonnage</w:t>
      </w:r>
      <w:r w:rsidRPr="005354E4">
        <w:rPr>
          <w:rFonts w:cstheme="minorHAnsi"/>
        </w:rPr>
        <w:t>) ou SMS (</w:t>
      </w:r>
      <w:r w:rsidRPr="005354E4">
        <w:rPr>
          <w:rFonts w:cstheme="minorHAnsi"/>
          <w:i/>
        </w:rPr>
        <w:t>smishing</w:t>
      </w:r>
      <w:r w:rsidRPr="005354E4">
        <w:rPr>
          <w:rFonts w:cstheme="minorHAnsi"/>
        </w:rPr>
        <w:t xml:space="preserve">) usurpant l’identité </w:t>
      </w:r>
      <w:r w:rsidR="00D40DD0" w:rsidRPr="005354E4">
        <w:rPr>
          <w:rFonts w:cstheme="minorHAnsi"/>
        </w:rPr>
        <w:t>d’un expéditeur légitime</w:t>
      </w:r>
      <w:r w:rsidRPr="005354E4">
        <w:rPr>
          <w:rFonts w:cstheme="minorHAnsi"/>
        </w:rPr>
        <w:t xml:space="preserve">, la mise en ligne de faux sites miroir, ou encore </w:t>
      </w:r>
      <w:r w:rsidR="00D40DD0" w:rsidRPr="005354E4">
        <w:rPr>
          <w:rFonts w:cstheme="minorHAnsi"/>
        </w:rPr>
        <w:t>l’affichage, lors d’un appel entrant</w:t>
      </w:r>
      <w:r w:rsidR="00F91EFD" w:rsidRPr="005354E4">
        <w:rPr>
          <w:rFonts w:cstheme="minorHAnsi"/>
        </w:rPr>
        <w:t xml:space="preserve"> malveillant, du numéro de téléphone d’un interlocuteur légitime</w:t>
      </w:r>
      <w:r w:rsidRPr="005354E4">
        <w:rPr>
          <w:rFonts w:cstheme="minorHAnsi"/>
        </w:rPr>
        <w:t xml:space="preserve"> (</w:t>
      </w:r>
      <w:r w:rsidRPr="005354E4">
        <w:rPr>
          <w:rFonts w:cstheme="minorHAnsi"/>
          <w:i/>
        </w:rPr>
        <w:t>spoofing</w:t>
      </w:r>
      <w:r w:rsidRPr="005354E4">
        <w:rPr>
          <w:rFonts w:cstheme="minorHAnsi"/>
        </w:rPr>
        <w:t>).</w:t>
      </w:r>
    </w:p>
    <w:p w14:paraId="411E4F3F" w14:textId="77777777" w:rsidR="004B12B4" w:rsidRPr="005354E4" w:rsidRDefault="004B12B4" w:rsidP="004B12B4">
      <w:pPr>
        <w:pBdr>
          <w:top w:val="triple" w:sz="4" w:space="1" w:color="000099"/>
          <w:left w:val="triple" w:sz="4" w:space="4" w:color="000099"/>
          <w:bottom w:val="triple" w:sz="4" w:space="1" w:color="000099"/>
          <w:right w:val="triple" w:sz="4" w:space="4" w:color="000099"/>
        </w:pBdr>
        <w:jc w:val="both"/>
        <w:rPr>
          <w:rFonts w:cstheme="minorHAnsi"/>
          <w:b/>
          <w:color w:val="000099"/>
        </w:rPr>
      </w:pPr>
      <w:r w:rsidRPr="005354E4">
        <w:rPr>
          <w:rFonts w:cstheme="minorHAnsi"/>
          <w:b/>
          <w:color w:val="000099"/>
        </w:rPr>
        <w:t>Recommandation n°</w:t>
      </w:r>
      <w:r w:rsidR="00F91EFD" w:rsidRPr="005354E4">
        <w:rPr>
          <w:rFonts w:cstheme="minorHAnsi"/>
          <w:b/>
          <w:color w:val="000099"/>
        </w:rPr>
        <w:t> </w:t>
      </w:r>
      <w:r w:rsidRPr="005354E4">
        <w:rPr>
          <w:rFonts w:cstheme="minorHAnsi"/>
          <w:b/>
          <w:color w:val="000099"/>
        </w:rPr>
        <w:t>1</w:t>
      </w:r>
      <w:r w:rsidR="003F532A" w:rsidRPr="005354E4">
        <w:rPr>
          <w:rFonts w:cstheme="minorHAnsi"/>
          <w:b/>
          <w:color w:val="000099"/>
        </w:rPr>
        <w:t>3</w:t>
      </w:r>
      <w:r w:rsidRPr="005354E4">
        <w:rPr>
          <w:rFonts w:cstheme="minorHAnsi"/>
          <w:b/>
          <w:color w:val="000099"/>
        </w:rPr>
        <w:t xml:space="preserve"> : </w:t>
      </w:r>
      <w:r w:rsidR="00DC4B9D" w:rsidRPr="005354E4">
        <w:rPr>
          <w:rFonts w:cstheme="minorHAnsi"/>
          <w:b/>
          <w:color w:val="000099"/>
        </w:rPr>
        <w:t>rôle</w:t>
      </w:r>
      <w:r w:rsidRPr="005354E4">
        <w:rPr>
          <w:rFonts w:cstheme="minorHAnsi"/>
          <w:b/>
          <w:color w:val="000099"/>
        </w:rPr>
        <w:t xml:space="preserve"> des </w:t>
      </w:r>
      <w:r w:rsidR="00E71D39" w:rsidRPr="005354E4">
        <w:rPr>
          <w:rFonts w:cstheme="minorHAnsi"/>
          <w:b/>
          <w:color w:val="000099"/>
        </w:rPr>
        <w:t>fournisseurs de</w:t>
      </w:r>
      <w:r w:rsidR="003F532A" w:rsidRPr="005354E4">
        <w:rPr>
          <w:rFonts w:cstheme="minorHAnsi"/>
          <w:b/>
          <w:color w:val="000099"/>
        </w:rPr>
        <w:t xml:space="preserve"> services et</w:t>
      </w:r>
      <w:r w:rsidRPr="005354E4">
        <w:rPr>
          <w:rFonts w:cstheme="minorHAnsi"/>
          <w:b/>
          <w:color w:val="000099"/>
        </w:rPr>
        <w:t xml:space="preserve"> technologies de l’information</w:t>
      </w:r>
    </w:p>
    <w:p w14:paraId="42D2E9F2" w14:textId="77777777" w:rsidR="004B12B4" w:rsidRPr="005354E4" w:rsidRDefault="004B12B4" w:rsidP="004B12B4">
      <w:pPr>
        <w:pBdr>
          <w:top w:val="triple" w:sz="4" w:space="1" w:color="000099"/>
          <w:left w:val="triple" w:sz="4" w:space="4" w:color="000099"/>
          <w:bottom w:val="triple" w:sz="4" w:space="1" w:color="000099"/>
          <w:right w:val="triple" w:sz="4" w:space="4" w:color="000099"/>
        </w:pBdr>
        <w:jc w:val="both"/>
        <w:rPr>
          <w:rFonts w:cstheme="minorHAnsi"/>
          <w:b/>
        </w:rPr>
      </w:pPr>
      <w:r w:rsidRPr="005354E4">
        <w:rPr>
          <w:rFonts w:cstheme="minorHAnsi"/>
          <w:b/>
        </w:rPr>
        <w:t>Les acteurs du secteur des technologies de l’information (opérateurs de téléphonie, hébergeurs</w:t>
      </w:r>
      <w:r w:rsidR="00DC4B9D" w:rsidRPr="005354E4">
        <w:rPr>
          <w:rFonts w:cstheme="minorHAnsi"/>
          <w:b/>
        </w:rPr>
        <w:t xml:space="preserve"> de contenu</w:t>
      </w:r>
      <w:r w:rsidRPr="005354E4">
        <w:rPr>
          <w:rFonts w:cstheme="minorHAnsi"/>
          <w:b/>
        </w:rPr>
        <w:t xml:space="preserve">, </w:t>
      </w:r>
      <w:r w:rsidR="00DC4B9D" w:rsidRPr="005354E4">
        <w:rPr>
          <w:rFonts w:cstheme="minorHAnsi"/>
          <w:b/>
        </w:rPr>
        <w:t>éditeurs</w:t>
      </w:r>
      <w:r w:rsidRPr="005354E4">
        <w:rPr>
          <w:rFonts w:cstheme="minorHAnsi"/>
          <w:b/>
        </w:rPr>
        <w:t xml:space="preserve"> de sites de référencement</w:t>
      </w:r>
      <w:r w:rsidR="00DC4B9D" w:rsidRPr="005354E4">
        <w:rPr>
          <w:rFonts w:cstheme="minorHAnsi"/>
          <w:b/>
        </w:rPr>
        <w:t>,</w:t>
      </w:r>
      <w:r w:rsidRPr="005354E4">
        <w:rPr>
          <w:rFonts w:cstheme="minorHAnsi"/>
          <w:b/>
        </w:rPr>
        <w:t xml:space="preserve"> moteurs de recherche, </w:t>
      </w:r>
      <w:r w:rsidR="00DC4B9D" w:rsidRPr="005354E4">
        <w:rPr>
          <w:rFonts w:cstheme="minorHAnsi"/>
          <w:b/>
        </w:rPr>
        <w:t>fournisseurs</w:t>
      </w:r>
      <w:r w:rsidRPr="005354E4">
        <w:rPr>
          <w:rFonts w:cstheme="minorHAnsi"/>
          <w:b/>
        </w:rPr>
        <w:t xml:space="preserve"> de </w:t>
      </w:r>
      <w:r w:rsidR="00DC4B9D" w:rsidRPr="005354E4">
        <w:rPr>
          <w:rFonts w:cstheme="minorHAnsi"/>
          <w:b/>
        </w:rPr>
        <w:t xml:space="preserve">services de </w:t>
      </w:r>
      <w:r w:rsidRPr="005354E4">
        <w:rPr>
          <w:rFonts w:cstheme="minorHAnsi"/>
          <w:b/>
        </w:rPr>
        <w:t>messagerie…) veillent à protéger les utilisateurs contre les risques d’usurpation d’identité et d’atteinte à l’intégrité et la confidentialité de leurs données</w:t>
      </w:r>
      <w:r w:rsidR="00614624" w:rsidRPr="005354E4">
        <w:rPr>
          <w:rFonts w:cstheme="minorHAnsi"/>
          <w:b/>
        </w:rPr>
        <w:t>. Ils</w:t>
      </w:r>
      <w:r w:rsidRPr="005354E4">
        <w:rPr>
          <w:rFonts w:cstheme="minorHAnsi"/>
          <w:b/>
        </w:rPr>
        <w:t xml:space="preserve"> œuvrent à empêcher l’utilisation de techniques frauduleuses telles que </w:t>
      </w:r>
      <w:r w:rsidR="00472AB9" w:rsidRPr="005354E4">
        <w:rPr>
          <w:rFonts w:cstheme="minorHAnsi"/>
          <w:b/>
        </w:rPr>
        <w:t>l’hameçonnage</w:t>
      </w:r>
      <w:r w:rsidRPr="005354E4">
        <w:rPr>
          <w:rFonts w:cstheme="minorHAnsi"/>
          <w:b/>
        </w:rPr>
        <w:t xml:space="preserve">, le </w:t>
      </w:r>
      <w:r w:rsidRPr="005354E4">
        <w:rPr>
          <w:rFonts w:cstheme="minorHAnsi"/>
          <w:b/>
          <w:i/>
        </w:rPr>
        <w:t>spoofing</w:t>
      </w:r>
      <w:r w:rsidRPr="005354E4">
        <w:rPr>
          <w:rFonts w:cstheme="minorHAnsi"/>
          <w:b/>
        </w:rPr>
        <w:t xml:space="preserve"> ou le </w:t>
      </w:r>
      <w:r w:rsidRPr="005354E4">
        <w:rPr>
          <w:rFonts w:cstheme="minorHAnsi"/>
          <w:b/>
          <w:i/>
        </w:rPr>
        <w:t>SIM-swapping</w:t>
      </w:r>
      <w:r w:rsidRPr="005354E4">
        <w:rPr>
          <w:rFonts w:cstheme="minorHAnsi"/>
          <w:b/>
        </w:rPr>
        <w:t>.</w:t>
      </w:r>
    </w:p>
    <w:p w14:paraId="3065BC63" w14:textId="77777777" w:rsidR="00EF3218" w:rsidRPr="005354E4" w:rsidRDefault="00EF3218" w:rsidP="00CC7CE6">
      <w:pPr>
        <w:pStyle w:val="Titre1"/>
        <w:numPr>
          <w:ilvl w:val="0"/>
          <w:numId w:val="8"/>
        </w:numPr>
        <w:pBdr>
          <w:top w:val="single" w:sz="4" w:space="1" w:color="000099"/>
          <w:bottom w:val="single" w:sz="4" w:space="1" w:color="000099"/>
        </w:pBdr>
        <w:spacing w:before="600"/>
        <w:ind w:left="357" w:hanging="357"/>
        <w:jc w:val="both"/>
        <w:rPr>
          <w:rFonts w:asciiTheme="minorHAnsi" w:hAnsiTheme="minorHAnsi" w:cstheme="minorHAnsi"/>
          <w:b w:val="0"/>
          <w:smallCaps/>
          <w:color w:val="000099"/>
          <w:sz w:val="28"/>
        </w:rPr>
      </w:pPr>
      <w:r w:rsidRPr="005354E4">
        <w:rPr>
          <w:rFonts w:asciiTheme="minorHAnsi" w:hAnsiTheme="minorHAnsi" w:cstheme="minorHAnsi"/>
          <w:b w:val="0"/>
          <w:smallCaps/>
          <w:color w:val="000099"/>
          <w:sz w:val="28"/>
        </w:rPr>
        <w:t>Conditions d’application des recommandations</w:t>
      </w:r>
    </w:p>
    <w:p w14:paraId="49F8E2C7" w14:textId="77777777" w:rsidR="00EF3218" w:rsidRPr="005354E4" w:rsidRDefault="00EF3218" w:rsidP="00EF3218">
      <w:pPr>
        <w:pStyle w:val="Paragraphedeliste"/>
        <w:spacing w:after="0"/>
        <w:jc w:val="both"/>
        <w:rPr>
          <w:rFonts w:eastAsia="Times New Roman" w:cstheme="minorHAnsi"/>
          <w:b/>
          <w:bCs/>
          <w:smallCaps/>
          <w:sz w:val="28"/>
          <w:szCs w:val="32"/>
        </w:rPr>
      </w:pPr>
    </w:p>
    <w:p w14:paraId="6C20CAB3" w14:textId="77777777" w:rsidR="00F77FAB" w:rsidRPr="005354E4" w:rsidRDefault="00EF3218" w:rsidP="00F77FAB">
      <w:pPr>
        <w:jc w:val="both"/>
        <w:rPr>
          <w:rFonts w:cstheme="minorHAnsi"/>
        </w:rPr>
      </w:pPr>
      <w:r w:rsidRPr="005354E4">
        <w:rPr>
          <w:rFonts w:cstheme="minorHAnsi"/>
        </w:rPr>
        <w:t xml:space="preserve">Les </w:t>
      </w:r>
      <w:r w:rsidR="00A07EB9" w:rsidRPr="005354E4">
        <w:rPr>
          <w:rFonts w:cstheme="minorHAnsi"/>
        </w:rPr>
        <w:t xml:space="preserve">treize </w:t>
      </w:r>
      <w:r w:rsidRPr="005354E4">
        <w:rPr>
          <w:rFonts w:cstheme="minorHAnsi"/>
        </w:rPr>
        <w:t>recommandations de l’Observatoire constituent des pratiques de référence pour les acteurs du marché des paiements</w:t>
      </w:r>
      <w:r w:rsidR="00D14139" w:rsidRPr="005354E4">
        <w:rPr>
          <w:rFonts w:cstheme="minorHAnsi"/>
        </w:rPr>
        <w:t xml:space="preserve">, qui précisent les attentes des </w:t>
      </w:r>
      <w:r w:rsidR="00F414AB" w:rsidRPr="005354E4">
        <w:rPr>
          <w:rFonts w:cstheme="minorHAnsi"/>
        </w:rPr>
        <w:t>autorités</w:t>
      </w:r>
      <w:r w:rsidR="00D14139" w:rsidRPr="005354E4">
        <w:rPr>
          <w:rFonts w:cstheme="minorHAnsi"/>
        </w:rPr>
        <w:t xml:space="preserve"> français</w:t>
      </w:r>
      <w:r w:rsidR="00F414AB" w:rsidRPr="005354E4">
        <w:rPr>
          <w:rFonts w:cstheme="minorHAnsi"/>
        </w:rPr>
        <w:t>es</w:t>
      </w:r>
      <w:r w:rsidR="00D14139" w:rsidRPr="005354E4">
        <w:rPr>
          <w:rFonts w:cstheme="minorHAnsi"/>
        </w:rPr>
        <w:t xml:space="preserve"> au regard de la réglementation européenne. Elles n’ont pas vocation à se substituer à la réglementation applicable, ni à la jurisprudence en la matière.</w:t>
      </w:r>
    </w:p>
    <w:p w14:paraId="410D3023" w14:textId="77777777" w:rsidR="00EF3218" w:rsidRPr="005354E4" w:rsidRDefault="00D14139" w:rsidP="00EF3218">
      <w:pPr>
        <w:jc w:val="both"/>
        <w:rPr>
          <w:rFonts w:cstheme="minorHAnsi"/>
        </w:rPr>
      </w:pPr>
      <w:r w:rsidRPr="005354E4">
        <w:rPr>
          <w:rFonts w:cstheme="minorHAnsi"/>
        </w:rPr>
        <w:t xml:space="preserve">Les </w:t>
      </w:r>
      <w:r w:rsidR="00F414AB" w:rsidRPr="005354E4">
        <w:rPr>
          <w:rFonts w:cstheme="minorHAnsi"/>
        </w:rPr>
        <w:t>prestataires de services de paiement</w:t>
      </w:r>
      <w:r w:rsidR="00EF3218" w:rsidRPr="005354E4">
        <w:rPr>
          <w:rFonts w:cstheme="minorHAnsi"/>
        </w:rPr>
        <w:t xml:space="preserve"> s’engagent à </w:t>
      </w:r>
      <w:r w:rsidR="00F414AB" w:rsidRPr="005354E4">
        <w:rPr>
          <w:rFonts w:cstheme="minorHAnsi"/>
        </w:rPr>
        <w:t>prendre en considération l</w:t>
      </w:r>
      <w:r w:rsidR="00EF3218" w:rsidRPr="005354E4">
        <w:rPr>
          <w:rFonts w:cstheme="minorHAnsi"/>
        </w:rPr>
        <w:t>es</w:t>
      </w:r>
      <w:r w:rsidR="0064777E" w:rsidRPr="005354E4">
        <w:rPr>
          <w:rFonts w:cstheme="minorHAnsi"/>
        </w:rPr>
        <w:t xml:space="preserve"> </w:t>
      </w:r>
      <w:r w:rsidR="00EF3218" w:rsidRPr="005354E4">
        <w:rPr>
          <w:rFonts w:cstheme="minorHAnsi"/>
        </w:rPr>
        <w:t>recommandations</w:t>
      </w:r>
      <w:r w:rsidR="00F414AB" w:rsidRPr="005354E4">
        <w:rPr>
          <w:rFonts w:cstheme="minorHAnsi"/>
        </w:rPr>
        <w:t xml:space="preserve"> 1 à 6</w:t>
      </w:r>
      <w:r w:rsidR="00EF3218" w:rsidRPr="005354E4">
        <w:rPr>
          <w:rFonts w:cstheme="minorHAnsi"/>
        </w:rPr>
        <w:t xml:space="preserve"> </w:t>
      </w:r>
      <w:r w:rsidRPr="005354E4">
        <w:rPr>
          <w:rFonts w:cstheme="minorHAnsi"/>
        </w:rPr>
        <w:t xml:space="preserve">dans leurs pratiques en matière de traitement </w:t>
      </w:r>
      <w:r w:rsidR="00D057A4" w:rsidRPr="005354E4">
        <w:rPr>
          <w:rFonts w:cstheme="minorHAnsi"/>
        </w:rPr>
        <w:t>des contestations d’opérations de paiement non autorisées</w:t>
      </w:r>
      <w:r w:rsidR="00F414AB" w:rsidRPr="005354E4">
        <w:rPr>
          <w:rFonts w:cstheme="minorHAnsi"/>
        </w:rPr>
        <w:t>, et l’ensemble des acteurs à jouer un rôle proactif dans la sécurité des paiements en veillant à appliquer les recommandations 7 à 13, pour celles qui les conc</w:t>
      </w:r>
      <w:r w:rsidR="003F7308" w:rsidRPr="005354E4">
        <w:rPr>
          <w:rFonts w:cstheme="minorHAnsi"/>
        </w:rPr>
        <w:t xml:space="preserve">ernent, dans la </w:t>
      </w:r>
      <w:r w:rsidR="00F414AB" w:rsidRPr="005354E4">
        <w:rPr>
          <w:rFonts w:cstheme="minorHAnsi"/>
        </w:rPr>
        <w:t>gestion de leurs activités au quotidien</w:t>
      </w:r>
      <w:r w:rsidRPr="005354E4">
        <w:rPr>
          <w:rFonts w:cstheme="minorHAnsi"/>
        </w:rPr>
        <w:t>.</w:t>
      </w:r>
    </w:p>
    <w:p w14:paraId="31FC72FA" w14:textId="77777777" w:rsidR="00EF3218" w:rsidRPr="007074FC" w:rsidRDefault="00D14139" w:rsidP="00373761">
      <w:pPr>
        <w:jc w:val="both"/>
        <w:rPr>
          <w:rFonts w:eastAsia="Cambria" w:cstheme="minorHAnsi"/>
          <w:b/>
          <w:sz w:val="20"/>
          <w:szCs w:val="24"/>
          <w:u w:val="single"/>
        </w:rPr>
      </w:pPr>
      <w:r w:rsidRPr="005354E4">
        <w:rPr>
          <w:rFonts w:cstheme="minorHAnsi"/>
        </w:rPr>
        <w:t xml:space="preserve">Dans un contexte où les mécanismes de fraude évaluent rapidement, l’Observatoire s’engage à procéder à un bilan de ces recommandations et, le cas échéant, à leur révision sous un délai </w:t>
      </w:r>
      <w:r w:rsidR="00D057A4" w:rsidRPr="005354E4">
        <w:rPr>
          <w:rFonts w:cstheme="minorHAnsi"/>
        </w:rPr>
        <w:t xml:space="preserve">maximal </w:t>
      </w:r>
      <w:r w:rsidRPr="005354E4">
        <w:rPr>
          <w:rFonts w:cstheme="minorHAnsi"/>
        </w:rPr>
        <w:t>de 18 mois à compter de leur adoption.</w:t>
      </w:r>
    </w:p>
    <w:sectPr w:rsidR="00EF3218" w:rsidRPr="007074FC" w:rsidSect="00B8749F">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C6D91" w14:textId="77777777" w:rsidR="00BB347A" w:rsidRDefault="00BB347A" w:rsidP="00944484">
      <w:pPr>
        <w:spacing w:after="0" w:line="240" w:lineRule="auto"/>
      </w:pPr>
      <w:r>
        <w:separator/>
      </w:r>
    </w:p>
  </w:endnote>
  <w:endnote w:type="continuationSeparator" w:id="0">
    <w:p w14:paraId="67708F22" w14:textId="77777777" w:rsidR="00BB347A" w:rsidRDefault="00BB347A" w:rsidP="00944484">
      <w:pPr>
        <w:spacing w:after="0" w:line="240" w:lineRule="auto"/>
      </w:pPr>
      <w:r>
        <w:continuationSeparator/>
      </w:r>
    </w:p>
  </w:endnote>
  <w:endnote w:type="continuationNotice" w:id="1">
    <w:p w14:paraId="1CFC9487" w14:textId="77777777" w:rsidR="00BB347A" w:rsidRDefault="00BB3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017088"/>
      <w:docPartObj>
        <w:docPartGallery w:val="Page Numbers (Bottom of Page)"/>
        <w:docPartUnique/>
      </w:docPartObj>
    </w:sdtPr>
    <w:sdtEndPr/>
    <w:sdtContent>
      <w:p w14:paraId="34FA1BF2" w14:textId="2417C8BD" w:rsidR="00D40DD0" w:rsidRDefault="00D40DD0" w:rsidP="00944484">
        <w:pPr>
          <w:pStyle w:val="Pieddepage"/>
          <w:pBdr>
            <w:top w:val="single" w:sz="4" w:space="1" w:color="000099"/>
          </w:pBdr>
          <w:jc w:val="center"/>
        </w:pPr>
        <w:r>
          <w:t xml:space="preserve">- </w:t>
        </w:r>
        <w:r>
          <w:fldChar w:fldCharType="begin"/>
        </w:r>
        <w:r>
          <w:instrText>PAGE   \* MERGEFORMAT</w:instrText>
        </w:r>
        <w:r>
          <w:fldChar w:fldCharType="separate"/>
        </w:r>
        <w:r w:rsidR="00A955BE">
          <w:rPr>
            <w:noProof/>
          </w:rPr>
          <w:t>1</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06F17" w14:textId="77777777" w:rsidR="00BB347A" w:rsidRDefault="00BB347A" w:rsidP="00944484">
      <w:pPr>
        <w:spacing w:after="0" w:line="240" w:lineRule="auto"/>
      </w:pPr>
      <w:r>
        <w:separator/>
      </w:r>
    </w:p>
  </w:footnote>
  <w:footnote w:type="continuationSeparator" w:id="0">
    <w:p w14:paraId="4047861C" w14:textId="77777777" w:rsidR="00BB347A" w:rsidRDefault="00BB347A" w:rsidP="00944484">
      <w:pPr>
        <w:spacing w:after="0" w:line="240" w:lineRule="auto"/>
      </w:pPr>
      <w:r>
        <w:continuationSeparator/>
      </w:r>
    </w:p>
  </w:footnote>
  <w:footnote w:type="continuationNotice" w:id="1">
    <w:p w14:paraId="388CF1B8" w14:textId="77777777" w:rsidR="00BB347A" w:rsidRDefault="00BB347A">
      <w:pPr>
        <w:spacing w:after="0" w:line="240" w:lineRule="auto"/>
      </w:pPr>
    </w:p>
  </w:footnote>
  <w:footnote w:id="2">
    <w:p w14:paraId="1730CF22" w14:textId="77777777" w:rsidR="00D40DD0" w:rsidRDefault="00D40DD0" w:rsidP="009C4D76">
      <w:pPr>
        <w:pStyle w:val="Notedebasdepage"/>
        <w:jc w:val="both"/>
      </w:pPr>
      <w:r>
        <w:rPr>
          <w:rStyle w:val="Appelnotedebasdep"/>
        </w:rPr>
        <w:footnoteRef/>
      </w:r>
      <w:r>
        <w:t xml:space="preserve"> </w:t>
      </w:r>
      <w:r w:rsidRPr="000A7FDD">
        <w:t>Directive (UE) 2015/2366 du Parlement européen et du Conseil du 25 novembre 2015 concernant les services de paiement dans le marché intérieur</w:t>
      </w:r>
    </w:p>
  </w:footnote>
  <w:footnote w:id="3">
    <w:p w14:paraId="4687166E" w14:textId="77777777" w:rsidR="00D40DD0" w:rsidRDefault="00D40DD0" w:rsidP="009C4D76">
      <w:pPr>
        <w:pStyle w:val="Notedebasdepage"/>
        <w:jc w:val="both"/>
      </w:pPr>
      <w:r>
        <w:rPr>
          <w:rStyle w:val="Appelnotedebasdep"/>
        </w:rPr>
        <w:footnoteRef/>
      </w:r>
      <w:r>
        <w:t xml:space="preserve"> Hors cas particulier du régime de remboursement applicable à certaines opérations autorisées, dont les prélèvements intervenus depuis moins de huit semaines (articles L.133-25 et L.133-25-1 du CMF)</w:t>
      </w:r>
    </w:p>
  </w:footnote>
  <w:footnote w:id="4">
    <w:p w14:paraId="477453F3" w14:textId="77777777" w:rsidR="00D40DD0" w:rsidRDefault="00D40DD0" w:rsidP="002126E7">
      <w:pPr>
        <w:pStyle w:val="Notedebasdepage"/>
      </w:pPr>
      <w:r>
        <w:rPr>
          <w:rStyle w:val="Appelnotedebasdep"/>
        </w:rPr>
        <w:footnoteRef/>
      </w:r>
      <w:r>
        <w:t xml:space="preserve"> Article L.133-4, f) du CMF</w:t>
      </w:r>
    </w:p>
  </w:footnote>
  <w:footnote w:id="5">
    <w:p w14:paraId="54C570E3" w14:textId="77777777" w:rsidR="00D40DD0" w:rsidRDefault="00D40DD0" w:rsidP="00A81D8F">
      <w:pPr>
        <w:pStyle w:val="Notedebasdepage"/>
        <w:jc w:val="both"/>
      </w:pPr>
      <w:r>
        <w:rPr>
          <w:rStyle w:val="Appelnotedebasdep"/>
        </w:rPr>
        <w:footnoteRef/>
      </w:r>
      <w:r>
        <w:t xml:space="preserve"> </w:t>
      </w:r>
      <w:r w:rsidRPr="00A8715E">
        <w:t>Règlement délégué (UE) 2018/389 de la Commission du 27 novembre 2017 complétant la directive (UE) 2015/2366 du Parlement européen et du Conseil par des normes techniques de réglementation relatives à l'authentification forte du client et à des normes ouvertes communes et sécurisées de communication</w:t>
      </w:r>
    </w:p>
  </w:footnote>
  <w:footnote w:id="6">
    <w:p w14:paraId="3588859D" w14:textId="77777777" w:rsidR="00A24753" w:rsidRDefault="00A24753" w:rsidP="009C4D76">
      <w:pPr>
        <w:pStyle w:val="Notedebasdepage"/>
        <w:jc w:val="both"/>
      </w:pPr>
      <w:r>
        <w:rPr>
          <w:rStyle w:val="Appelnotedebasdep"/>
        </w:rPr>
        <w:footnoteRef/>
      </w:r>
      <w:r>
        <w:t xml:space="preserve"> </w:t>
      </w:r>
      <w:r w:rsidR="00D706B7">
        <w:t>La</w:t>
      </w:r>
      <w:r>
        <w:t xml:space="preserve"> réglementation</w:t>
      </w:r>
      <w:r w:rsidR="00D706B7">
        <w:t xml:space="preserve"> précise que</w:t>
      </w:r>
      <w:r>
        <w:t xml:space="preserve"> le remboursement doit être </w:t>
      </w:r>
      <w:r w:rsidRPr="005354E4">
        <w:t>réalisé</w:t>
      </w:r>
      <w:r w:rsidR="00C22057" w:rsidRPr="005354E4">
        <w:t xml:space="preserve"> immédiatement après avoir pris connaissance de l’opération ou après en avoir été informé et en tout état de cause</w:t>
      </w:r>
      <w:r w:rsidRPr="005354E4">
        <w:t xml:space="preserve"> au plus</w:t>
      </w:r>
      <w:r w:rsidRPr="00A24753">
        <w:t xml:space="preserve"> tard à la fin du premier jour </w:t>
      </w:r>
      <w:r>
        <w:t>ouvrable</w:t>
      </w:r>
      <w:r w:rsidRPr="00A24753">
        <w:t xml:space="preserve"> suivant</w:t>
      </w:r>
      <w:r>
        <w:t xml:space="preserve"> la date de dépôt de la </w:t>
      </w:r>
      <w:r w:rsidR="00DD1AB5">
        <w:t>contestation</w:t>
      </w:r>
      <w:r w:rsidR="00D706B7">
        <w:t xml:space="preserve">, et doit </w:t>
      </w:r>
      <w:r w:rsidR="00A162DE">
        <w:t>inclure</w:t>
      </w:r>
      <w:r w:rsidR="00D706B7">
        <w:t xml:space="preserve"> les éventuels frais supplémentaires induits à titre transitoire par la comptabilisation de l’opération frauduleuse (frais de découverts, intérêts débiteurs…).</w:t>
      </w:r>
    </w:p>
  </w:footnote>
  <w:footnote w:id="7">
    <w:p w14:paraId="517AA702" w14:textId="77777777" w:rsidR="00D40DD0" w:rsidRDefault="00D40DD0" w:rsidP="009C4D76">
      <w:pPr>
        <w:pStyle w:val="Notedebasdepage"/>
        <w:jc w:val="both"/>
      </w:pPr>
      <w:r>
        <w:rPr>
          <w:rStyle w:val="Appelnotedebasdep"/>
        </w:rPr>
        <w:footnoteRef/>
      </w:r>
      <w:r>
        <w:t xml:space="preserve"> Sauf pour les prélèvements contestés dans les huit semaines suivant le débit du compte, pour lesquels le payeur dispose d’un droit au remboursement inconditionnel.</w:t>
      </w:r>
    </w:p>
  </w:footnote>
  <w:footnote w:id="8">
    <w:p w14:paraId="6965E2CC" w14:textId="77777777" w:rsidR="00A162DE" w:rsidRDefault="00A162DE" w:rsidP="009C4D76">
      <w:pPr>
        <w:pStyle w:val="Notedebasdepage"/>
        <w:jc w:val="both"/>
      </w:pPr>
      <w:r>
        <w:rPr>
          <w:rStyle w:val="Appelnotedebasdep"/>
        </w:rPr>
        <w:footnoteRef/>
      </w:r>
      <w:r>
        <w:t xml:space="preserve"> La réglementation précise que le remboursement doit être </w:t>
      </w:r>
      <w:r w:rsidRPr="005354E4">
        <w:t xml:space="preserve">réalisé </w:t>
      </w:r>
      <w:r w:rsidR="00C22057" w:rsidRPr="005354E4">
        <w:t xml:space="preserve">immédiatement après avoir pris connaissance de l’opération ou après en avoir été informé et en tout état de cause </w:t>
      </w:r>
      <w:r w:rsidRPr="005354E4">
        <w:t xml:space="preserve">au plus tard à la fin du premier jour </w:t>
      </w:r>
      <w:r w:rsidRPr="003057DD">
        <w:t xml:space="preserve">ouvrable suivant la date de dépôt de la </w:t>
      </w:r>
      <w:r w:rsidR="00DD1AB5">
        <w:t>contestation</w:t>
      </w:r>
      <w:r w:rsidRPr="003057DD">
        <w:t>, et doit inclure les éventuels</w:t>
      </w:r>
      <w:r>
        <w:t xml:space="preserve"> frais supplémentaires induits à titre transitoire par la comptabilisation de l’opération frauduleuse (frais de découverts, intérêts débiteurs…).</w:t>
      </w:r>
    </w:p>
  </w:footnote>
  <w:footnote w:id="9">
    <w:p w14:paraId="04BA9B9B" w14:textId="77777777" w:rsidR="00A162DE" w:rsidRDefault="00A162DE" w:rsidP="009C4D76">
      <w:pPr>
        <w:pStyle w:val="Notedebasdepage"/>
        <w:jc w:val="both"/>
      </w:pPr>
      <w:r>
        <w:rPr>
          <w:rStyle w:val="Appelnotedebasdep"/>
        </w:rPr>
        <w:footnoteRef/>
      </w:r>
      <w:r>
        <w:t xml:space="preserve"> La réglementation précise que le remboursement doit être </w:t>
      </w:r>
      <w:r w:rsidRPr="005354E4">
        <w:t xml:space="preserve">réalisé </w:t>
      </w:r>
      <w:r w:rsidR="00C22057" w:rsidRPr="005354E4">
        <w:t>immédiatement après avoir pris connaissance de l’opération ou après en avoir ét</w:t>
      </w:r>
      <w:r w:rsidR="00C22057" w:rsidRPr="003057DD">
        <w:t xml:space="preserve">é informé et en tout état de cause </w:t>
      </w:r>
      <w:r w:rsidRPr="003057DD">
        <w:t xml:space="preserve">au plus tard à la fin du premier jour ouvrable suivant la date de dépôt de la </w:t>
      </w:r>
      <w:r w:rsidR="00DD1AB5">
        <w:t>contestation</w:t>
      </w:r>
      <w:r w:rsidRPr="003057DD">
        <w:t>, et doit inclure les éventuels</w:t>
      </w:r>
      <w:r>
        <w:t xml:space="preserve"> frais supplémentaires induits à titre transitoire par la comptabilisation de l’opération frauduleuse (frais de découverts, intérêts débiteurs…).</w:t>
      </w:r>
    </w:p>
  </w:footnote>
  <w:footnote w:id="10">
    <w:p w14:paraId="05F04794" w14:textId="77777777" w:rsidR="003057DD" w:rsidRDefault="003057DD" w:rsidP="009C4D76">
      <w:pPr>
        <w:pStyle w:val="Notedebasdepage"/>
        <w:jc w:val="both"/>
      </w:pPr>
      <w:r>
        <w:rPr>
          <w:rStyle w:val="Appelnotedebasdep"/>
        </w:rPr>
        <w:footnoteRef/>
      </w:r>
      <w:r>
        <w:t xml:space="preserve"> Au sens de l’article L. 133-18</w:t>
      </w:r>
    </w:p>
  </w:footnote>
  <w:footnote w:id="11">
    <w:p w14:paraId="6DF6AA11" w14:textId="77777777" w:rsidR="003057DD" w:rsidRDefault="003057DD" w:rsidP="009C4D76">
      <w:pPr>
        <w:pStyle w:val="Notedebasdepage"/>
        <w:jc w:val="both"/>
      </w:pPr>
      <w:r>
        <w:rPr>
          <w:rStyle w:val="Appelnotedebasdep"/>
        </w:rPr>
        <w:footnoteRef/>
      </w:r>
      <w:r>
        <w:t xml:space="preserve"> Au sens de l’article L. 133-6</w:t>
      </w:r>
    </w:p>
  </w:footnote>
  <w:footnote w:id="12">
    <w:p w14:paraId="2AE73BF3" w14:textId="77777777" w:rsidR="003057DD" w:rsidRDefault="003057DD" w:rsidP="009C4D76">
      <w:pPr>
        <w:pStyle w:val="Notedebasdepage"/>
        <w:jc w:val="both"/>
      </w:pPr>
      <w:r>
        <w:rPr>
          <w:rStyle w:val="Appelnotedebasdep"/>
        </w:rPr>
        <w:footnoteRef/>
      </w:r>
      <w:r>
        <w:t xml:space="preserve"> Au sens des articles L.133-19 et L.133-23</w:t>
      </w:r>
    </w:p>
  </w:footnote>
  <w:footnote w:id="13">
    <w:p w14:paraId="03F390CE" w14:textId="77777777" w:rsidR="00861FCF" w:rsidRDefault="00861FCF" w:rsidP="00861FCF">
      <w:pPr>
        <w:pStyle w:val="Notedebasdepage"/>
        <w:jc w:val="both"/>
      </w:pPr>
      <w:r>
        <w:rPr>
          <w:rStyle w:val="Appelnotedebasdep"/>
        </w:rPr>
        <w:footnoteRef/>
      </w:r>
      <w:r>
        <w:t xml:space="preserve"> Perceval est le télé-service pour signaler aux forces de l’ordre les fraudes à la carte bancaire en ligne ; Thésée permet de porter plainte en ligne contre des arnaques ou des escroqueries sur internet, notamment dans le cas des fraudes aux virements. </w:t>
      </w:r>
    </w:p>
  </w:footnote>
  <w:footnote w:id="14">
    <w:p w14:paraId="3206D2CD" w14:textId="77777777" w:rsidR="001D3494" w:rsidRDefault="001D3494" w:rsidP="009C4D76">
      <w:pPr>
        <w:pStyle w:val="Notedebasdepage"/>
        <w:jc w:val="both"/>
      </w:pPr>
      <w:r>
        <w:rPr>
          <w:rStyle w:val="Appelnotedebasdep"/>
        </w:rPr>
        <w:footnoteRef/>
      </w:r>
      <w:r>
        <w:t xml:space="preserve"> </w:t>
      </w:r>
      <w:r w:rsidRPr="001D3494">
        <w:t>Si l’utilisateur engage une réclamation sur la décision finale du prestataire de services de paiement à la suite de sa contestation, il est rappelé que la recommandation 2022-R-01 du 9 mai 2022 de l’ACPR sur le traitement des réclamations</w:t>
      </w:r>
      <w:r>
        <w:t xml:space="preserve"> </w:t>
      </w:r>
      <w:r w:rsidRPr="001D3494">
        <w:t xml:space="preserve">serait alors pleinement applicable et complète les présentes recommandations. </w:t>
      </w:r>
      <w:hyperlink r:id="rId1" w:history="1">
        <w:r>
          <w:rPr>
            <w:rStyle w:val="Lienhypertexte"/>
          </w:rPr>
          <w:t>https://acpr.banque-france.fr/sites/default/files/media/2022/05/17/20220517_recommandation_2022-r-01_traitement_reclamations.pdf</w:t>
        </w:r>
      </w:hyperlink>
    </w:p>
  </w:footnote>
  <w:footnote w:id="15">
    <w:p w14:paraId="4AD1E381" w14:textId="77777777" w:rsidR="00D40DD0" w:rsidRDefault="00D40DD0" w:rsidP="009C4D76">
      <w:pPr>
        <w:pStyle w:val="Notedebasdepage"/>
        <w:jc w:val="both"/>
      </w:pPr>
      <w:r w:rsidRPr="005143F5">
        <w:rPr>
          <w:rStyle w:val="Appelnotedebasdep"/>
          <w:sz w:val="18"/>
        </w:rPr>
        <w:footnoteRef/>
      </w:r>
      <w:r w:rsidRPr="005143F5">
        <w:rPr>
          <w:sz w:val="18"/>
        </w:rPr>
        <w:t xml:space="preserve"> Proposition du 26 octobre 2022 (2022/0341 (COD)) visant à rendre les paiements instantanés en euros accessibles à tous les particuliers et à toutes les entreprises qui possèdent un compte bancaire dans l'UE ou dans un pays de l'EEE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DCF82" w14:textId="77777777" w:rsidR="00D40DD0" w:rsidRPr="008B3F25" w:rsidRDefault="00D40DD0" w:rsidP="008B3F25">
    <w:pPr>
      <w:pStyle w:val="En-tte"/>
      <w:jc w:val="right"/>
      <w:rPr>
        <w:b/>
        <w:color w:val="FFFFFF" w:themeColor="background1"/>
      </w:rPr>
    </w:pPr>
    <w:r w:rsidRPr="008B3F25">
      <w:rPr>
        <w:b/>
        <w:color w:val="FFFFFF" w:themeColor="background1"/>
        <w:highlight w:val="darkBlue"/>
      </w:rPr>
      <w:t>- RESTREINT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022"/>
    <w:multiLevelType w:val="hybridMultilevel"/>
    <w:tmpl w:val="0C101E00"/>
    <w:lvl w:ilvl="0" w:tplc="BB32127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6A181B"/>
    <w:multiLevelType w:val="hybridMultilevel"/>
    <w:tmpl w:val="D13C7B30"/>
    <w:lvl w:ilvl="0" w:tplc="79EA8306">
      <w:start w:val="1"/>
      <w:numFmt w:val="bullet"/>
      <w:lvlText w:val=""/>
      <w:lvlJc w:val="left"/>
      <w:pPr>
        <w:tabs>
          <w:tab w:val="num" w:pos="720"/>
        </w:tabs>
        <w:ind w:left="720" w:hanging="360"/>
      </w:pPr>
      <w:rPr>
        <w:rFonts w:ascii="Wingdings" w:hAnsi="Wingdings" w:hint="default"/>
      </w:rPr>
    </w:lvl>
    <w:lvl w:ilvl="1" w:tplc="1B6450EE" w:tentative="1">
      <w:start w:val="1"/>
      <w:numFmt w:val="bullet"/>
      <w:lvlText w:val=""/>
      <w:lvlJc w:val="left"/>
      <w:pPr>
        <w:tabs>
          <w:tab w:val="num" w:pos="1440"/>
        </w:tabs>
        <w:ind w:left="1440" w:hanging="360"/>
      </w:pPr>
      <w:rPr>
        <w:rFonts w:ascii="Wingdings" w:hAnsi="Wingdings" w:hint="default"/>
      </w:rPr>
    </w:lvl>
    <w:lvl w:ilvl="2" w:tplc="3A46F3A8" w:tentative="1">
      <w:start w:val="1"/>
      <w:numFmt w:val="bullet"/>
      <w:lvlText w:val=""/>
      <w:lvlJc w:val="left"/>
      <w:pPr>
        <w:tabs>
          <w:tab w:val="num" w:pos="2160"/>
        </w:tabs>
        <w:ind w:left="2160" w:hanging="360"/>
      </w:pPr>
      <w:rPr>
        <w:rFonts w:ascii="Wingdings" w:hAnsi="Wingdings" w:hint="default"/>
      </w:rPr>
    </w:lvl>
    <w:lvl w:ilvl="3" w:tplc="0E96D610" w:tentative="1">
      <w:start w:val="1"/>
      <w:numFmt w:val="bullet"/>
      <w:lvlText w:val=""/>
      <w:lvlJc w:val="left"/>
      <w:pPr>
        <w:tabs>
          <w:tab w:val="num" w:pos="2880"/>
        </w:tabs>
        <w:ind w:left="2880" w:hanging="360"/>
      </w:pPr>
      <w:rPr>
        <w:rFonts w:ascii="Wingdings" w:hAnsi="Wingdings" w:hint="default"/>
      </w:rPr>
    </w:lvl>
    <w:lvl w:ilvl="4" w:tplc="D9D2D13C" w:tentative="1">
      <w:start w:val="1"/>
      <w:numFmt w:val="bullet"/>
      <w:lvlText w:val=""/>
      <w:lvlJc w:val="left"/>
      <w:pPr>
        <w:tabs>
          <w:tab w:val="num" w:pos="3600"/>
        </w:tabs>
        <w:ind w:left="3600" w:hanging="360"/>
      </w:pPr>
      <w:rPr>
        <w:rFonts w:ascii="Wingdings" w:hAnsi="Wingdings" w:hint="default"/>
      </w:rPr>
    </w:lvl>
    <w:lvl w:ilvl="5" w:tplc="8020DA38" w:tentative="1">
      <w:start w:val="1"/>
      <w:numFmt w:val="bullet"/>
      <w:lvlText w:val=""/>
      <w:lvlJc w:val="left"/>
      <w:pPr>
        <w:tabs>
          <w:tab w:val="num" w:pos="4320"/>
        </w:tabs>
        <w:ind w:left="4320" w:hanging="360"/>
      </w:pPr>
      <w:rPr>
        <w:rFonts w:ascii="Wingdings" w:hAnsi="Wingdings" w:hint="default"/>
      </w:rPr>
    </w:lvl>
    <w:lvl w:ilvl="6" w:tplc="3CDAC8EE" w:tentative="1">
      <w:start w:val="1"/>
      <w:numFmt w:val="bullet"/>
      <w:lvlText w:val=""/>
      <w:lvlJc w:val="left"/>
      <w:pPr>
        <w:tabs>
          <w:tab w:val="num" w:pos="5040"/>
        </w:tabs>
        <w:ind w:left="5040" w:hanging="360"/>
      </w:pPr>
      <w:rPr>
        <w:rFonts w:ascii="Wingdings" w:hAnsi="Wingdings" w:hint="default"/>
      </w:rPr>
    </w:lvl>
    <w:lvl w:ilvl="7" w:tplc="DE8C2A0E" w:tentative="1">
      <w:start w:val="1"/>
      <w:numFmt w:val="bullet"/>
      <w:lvlText w:val=""/>
      <w:lvlJc w:val="left"/>
      <w:pPr>
        <w:tabs>
          <w:tab w:val="num" w:pos="5760"/>
        </w:tabs>
        <w:ind w:left="5760" w:hanging="360"/>
      </w:pPr>
      <w:rPr>
        <w:rFonts w:ascii="Wingdings" w:hAnsi="Wingdings" w:hint="default"/>
      </w:rPr>
    </w:lvl>
    <w:lvl w:ilvl="8" w:tplc="A948CF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00F2D"/>
    <w:multiLevelType w:val="hybridMultilevel"/>
    <w:tmpl w:val="2AB01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2752E7"/>
    <w:multiLevelType w:val="hybridMultilevel"/>
    <w:tmpl w:val="0630BBEA"/>
    <w:lvl w:ilvl="0" w:tplc="EE6408E2">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7A413B"/>
    <w:multiLevelType w:val="hybridMultilevel"/>
    <w:tmpl w:val="5784DB58"/>
    <w:lvl w:ilvl="0" w:tplc="679092C6">
      <w:start w:val="1"/>
      <w:numFmt w:val="bullet"/>
      <w:lvlText w:val=""/>
      <w:lvlJc w:val="left"/>
      <w:pPr>
        <w:tabs>
          <w:tab w:val="num" w:pos="720"/>
        </w:tabs>
        <w:ind w:left="720" w:hanging="360"/>
      </w:pPr>
      <w:rPr>
        <w:rFonts w:ascii="Wingdings" w:hAnsi="Wingdings" w:hint="default"/>
      </w:rPr>
    </w:lvl>
    <w:lvl w:ilvl="1" w:tplc="33187238">
      <w:start w:val="78"/>
      <w:numFmt w:val="bullet"/>
      <w:lvlText w:val=""/>
      <w:lvlJc w:val="left"/>
      <w:pPr>
        <w:tabs>
          <w:tab w:val="num" w:pos="1440"/>
        </w:tabs>
        <w:ind w:left="1440" w:hanging="360"/>
      </w:pPr>
      <w:rPr>
        <w:rFonts w:ascii="Wingdings" w:hAnsi="Wingdings" w:hint="default"/>
      </w:rPr>
    </w:lvl>
    <w:lvl w:ilvl="2" w:tplc="4CFCCE44" w:tentative="1">
      <w:start w:val="1"/>
      <w:numFmt w:val="bullet"/>
      <w:lvlText w:val=""/>
      <w:lvlJc w:val="left"/>
      <w:pPr>
        <w:tabs>
          <w:tab w:val="num" w:pos="2160"/>
        </w:tabs>
        <w:ind w:left="2160" w:hanging="360"/>
      </w:pPr>
      <w:rPr>
        <w:rFonts w:ascii="Wingdings" w:hAnsi="Wingdings" w:hint="default"/>
      </w:rPr>
    </w:lvl>
    <w:lvl w:ilvl="3" w:tplc="7DD4CC9A" w:tentative="1">
      <w:start w:val="1"/>
      <w:numFmt w:val="bullet"/>
      <w:lvlText w:val=""/>
      <w:lvlJc w:val="left"/>
      <w:pPr>
        <w:tabs>
          <w:tab w:val="num" w:pos="2880"/>
        </w:tabs>
        <w:ind w:left="2880" w:hanging="360"/>
      </w:pPr>
      <w:rPr>
        <w:rFonts w:ascii="Wingdings" w:hAnsi="Wingdings" w:hint="default"/>
      </w:rPr>
    </w:lvl>
    <w:lvl w:ilvl="4" w:tplc="AD447D20" w:tentative="1">
      <w:start w:val="1"/>
      <w:numFmt w:val="bullet"/>
      <w:lvlText w:val=""/>
      <w:lvlJc w:val="left"/>
      <w:pPr>
        <w:tabs>
          <w:tab w:val="num" w:pos="3600"/>
        </w:tabs>
        <w:ind w:left="3600" w:hanging="360"/>
      </w:pPr>
      <w:rPr>
        <w:rFonts w:ascii="Wingdings" w:hAnsi="Wingdings" w:hint="default"/>
      </w:rPr>
    </w:lvl>
    <w:lvl w:ilvl="5" w:tplc="B274C1BE" w:tentative="1">
      <w:start w:val="1"/>
      <w:numFmt w:val="bullet"/>
      <w:lvlText w:val=""/>
      <w:lvlJc w:val="left"/>
      <w:pPr>
        <w:tabs>
          <w:tab w:val="num" w:pos="4320"/>
        </w:tabs>
        <w:ind w:left="4320" w:hanging="360"/>
      </w:pPr>
      <w:rPr>
        <w:rFonts w:ascii="Wingdings" w:hAnsi="Wingdings" w:hint="default"/>
      </w:rPr>
    </w:lvl>
    <w:lvl w:ilvl="6" w:tplc="195AE518" w:tentative="1">
      <w:start w:val="1"/>
      <w:numFmt w:val="bullet"/>
      <w:lvlText w:val=""/>
      <w:lvlJc w:val="left"/>
      <w:pPr>
        <w:tabs>
          <w:tab w:val="num" w:pos="5040"/>
        </w:tabs>
        <w:ind w:left="5040" w:hanging="360"/>
      </w:pPr>
      <w:rPr>
        <w:rFonts w:ascii="Wingdings" w:hAnsi="Wingdings" w:hint="default"/>
      </w:rPr>
    </w:lvl>
    <w:lvl w:ilvl="7" w:tplc="8EE4633E" w:tentative="1">
      <w:start w:val="1"/>
      <w:numFmt w:val="bullet"/>
      <w:lvlText w:val=""/>
      <w:lvlJc w:val="left"/>
      <w:pPr>
        <w:tabs>
          <w:tab w:val="num" w:pos="5760"/>
        </w:tabs>
        <w:ind w:left="5760" w:hanging="360"/>
      </w:pPr>
      <w:rPr>
        <w:rFonts w:ascii="Wingdings" w:hAnsi="Wingdings" w:hint="default"/>
      </w:rPr>
    </w:lvl>
    <w:lvl w:ilvl="8" w:tplc="CFD0025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AB71AC"/>
    <w:multiLevelType w:val="hybridMultilevel"/>
    <w:tmpl w:val="548AC12E"/>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6" w15:restartNumberingAfterBreak="0">
    <w:nsid w:val="07F27FAB"/>
    <w:multiLevelType w:val="multilevel"/>
    <w:tmpl w:val="55C601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99703FD"/>
    <w:multiLevelType w:val="hybridMultilevel"/>
    <w:tmpl w:val="CD3C1438"/>
    <w:lvl w:ilvl="0" w:tplc="17CC530E">
      <w:start w:val="1"/>
      <w:numFmt w:val="bullet"/>
      <w:lvlText w:val="-"/>
      <w:lvlJc w:val="left"/>
      <w:pPr>
        <w:ind w:left="786" w:hanging="360"/>
      </w:pPr>
      <w:rPr>
        <w:rFonts w:ascii="Calibri" w:eastAsiaTheme="minorHAnsi" w:hAnsi="Calibri"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 w15:restartNumberingAfterBreak="0">
    <w:nsid w:val="0B4D31B4"/>
    <w:multiLevelType w:val="multilevel"/>
    <w:tmpl w:val="18A00E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C5546DC"/>
    <w:multiLevelType w:val="hybridMultilevel"/>
    <w:tmpl w:val="4C48C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722D8E"/>
    <w:multiLevelType w:val="hybridMultilevel"/>
    <w:tmpl w:val="9956F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D150FE0"/>
    <w:multiLevelType w:val="hybridMultilevel"/>
    <w:tmpl w:val="535C6398"/>
    <w:lvl w:ilvl="0" w:tplc="378C51F2">
      <w:start w:val="1"/>
      <w:numFmt w:val="bullet"/>
      <w:lvlText w:val=""/>
      <w:lvlJc w:val="left"/>
      <w:pPr>
        <w:tabs>
          <w:tab w:val="num" w:pos="720"/>
        </w:tabs>
        <w:ind w:left="720" w:hanging="360"/>
      </w:pPr>
      <w:rPr>
        <w:rFonts w:ascii="Wingdings" w:hAnsi="Wingdings" w:hint="default"/>
      </w:rPr>
    </w:lvl>
    <w:lvl w:ilvl="1" w:tplc="1C3A566A">
      <w:start w:val="1"/>
      <w:numFmt w:val="bullet"/>
      <w:lvlText w:val=""/>
      <w:lvlJc w:val="left"/>
      <w:pPr>
        <w:tabs>
          <w:tab w:val="num" w:pos="1440"/>
        </w:tabs>
        <w:ind w:left="1440" w:hanging="360"/>
      </w:pPr>
      <w:rPr>
        <w:rFonts w:ascii="Wingdings" w:hAnsi="Wingdings" w:hint="default"/>
      </w:rPr>
    </w:lvl>
    <w:lvl w:ilvl="2" w:tplc="B448A688">
      <w:start w:val="78"/>
      <w:numFmt w:val="bullet"/>
      <w:lvlText w:val=""/>
      <w:lvlJc w:val="left"/>
      <w:pPr>
        <w:tabs>
          <w:tab w:val="num" w:pos="2160"/>
        </w:tabs>
        <w:ind w:left="2160" w:hanging="360"/>
      </w:pPr>
      <w:rPr>
        <w:rFonts w:ascii="Wingdings" w:hAnsi="Wingdings" w:hint="default"/>
      </w:rPr>
    </w:lvl>
    <w:lvl w:ilvl="3" w:tplc="3710DCB6" w:tentative="1">
      <w:start w:val="1"/>
      <w:numFmt w:val="bullet"/>
      <w:lvlText w:val=""/>
      <w:lvlJc w:val="left"/>
      <w:pPr>
        <w:tabs>
          <w:tab w:val="num" w:pos="2880"/>
        </w:tabs>
        <w:ind w:left="2880" w:hanging="360"/>
      </w:pPr>
      <w:rPr>
        <w:rFonts w:ascii="Wingdings" w:hAnsi="Wingdings" w:hint="default"/>
      </w:rPr>
    </w:lvl>
    <w:lvl w:ilvl="4" w:tplc="EEAA761E" w:tentative="1">
      <w:start w:val="1"/>
      <w:numFmt w:val="bullet"/>
      <w:lvlText w:val=""/>
      <w:lvlJc w:val="left"/>
      <w:pPr>
        <w:tabs>
          <w:tab w:val="num" w:pos="3600"/>
        </w:tabs>
        <w:ind w:left="3600" w:hanging="360"/>
      </w:pPr>
      <w:rPr>
        <w:rFonts w:ascii="Wingdings" w:hAnsi="Wingdings" w:hint="default"/>
      </w:rPr>
    </w:lvl>
    <w:lvl w:ilvl="5" w:tplc="F52895EA" w:tentative="1">
      <w:start w:val="1"/>
      <w:numFmt w:val="bullet"/>
      <w:lvlText w:val=""/>
      <w:lvlJc w:val="left"/>
      <w:pPr>
        <w:tabs>
          <w:tab w:val="num" w:pos="4320"/>
        </w:tabs>
        <w:ind w:left="4320" w:hanging="360"/>
      </w:pPr>
      <w:rPr>
        <w:rFonts w:ascii="Wingdings" w:hAnsi="Wingdings" w:hint="default"/>
      </w:rPr>
    </w:lvl>
    <w:lvl w:ilvl="6" w:tplc="DE62D1A0" w:tentative="1">
      <w:start w:val="1"/>
      <w:numFmt w:val="bullet"/>
      <w:lvlText w:val=""/>
      <w:lvlJc w:val="left"/>
      <w:pPr>
        <w:tabs>
          <w:tab w:val="num" w:pos="5040"/>
        </w:tabs>
        <w:ind w:left="5040" w:hanging="360"/>
      </w:pPr>
      <w:rPr>
        <w:rFonts w:ascii="Wingdings" w:hAnsi="Wingdings" w:hint="default"/>
      </w:rPr>
    </w:lvl>
    <w:lvl w:ilvl="7" w:tplc="790AD23C" w:tentative="1">
      <w:start w:val="1"/>
      <w:numFmt w:val="bullet"/>
      <w:lvlText w:val=""/>
      <w:lvlJc w:val="left"/>
      <w:pPr>
        <w:tabs>
          <w:tab w:val="num" w:pos="5760"/>
        </w:tabs>
        <w:ind w:left="5760" w:hanging="360"/>
      </w:pPr>
      <w:rPr>
        <w:rFonts w:ascii="Wingdings" w:hAnsi="Wingdings" w:hint="default"/>
      </w:rPr>
    </w:lvl>
    <w:lvl w:ilvl="8" w:tplc="E3B67E7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CC3007"/>
    <w:multiLevelType w:val="hybridMultilevel"/>
    <w:tmpl w:val="EF1CA73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A9463A4"/>
    <w:multiLevelType w:val="multilevel"/>
    <w:tmpl w:val="9F8A04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B3E4FE8"/>
    <w:multiLevelType w:val="hybridMultilevel"/>
    <w:tmpl w:val="F3CA4782"/>
    <w:lvl w:ilvl="0" w:tplc="B83C4C3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1BA07C1A"/>
    <w:multiLevelType w:val="hybridMultilevel"/>
    <w:tmpl w:val="632AA6EA"/>
    <w:lvl w:ilvl="0" w:tplc="7160CA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C2D1DB8"/>
    <w:multiLevelType w:val="hybridMultilevel"/>
    <w:tmpl w:val="CA583052"/>
    <w:lvl w:ilvl="0" w:tplc="99442F4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D8E09BC"/>
    <w:multiLevelType w:val="hybridMultilevel"/>
    <w:tmpl w:val="594C3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F05344A"/>
    <w:multiLevelType w:val="hybridMultilevel"/>
    <w:tmpl w:val="A8F4171A"/>
    <w:lvl w:ilvl="0" w:tplc="5F3CE9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06E5F77"/>
    <w:multiLevelType w:val="hybridMultilevel"/>
    <w:tmpl w:val="210C2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0F03D07"/>
    <w:multiLevelType w:val="multilevel"/>
    <w:tmpl w:val="D15C48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23E5274"/>
    <w:multiLevelType w:val="hybridMultilevel"/>
    <w:tmpl w:val="D9B233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2" w15:restartNumberingAfterBreak="0">
    <w:nsid w:val="23315855"/>
    <w:multiLevelType w:val="hybridMultilevel"/>
    <w:tmpl w:val="137E10C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2CE75DBD"/>
    <w:multiLevelType w:val="multilevel"/>
    <w:tmpl w:val="5BD2E7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A6223D"/>
    <w:multiLevelType w:val="hybridMultilevel"/>
    <w:tmpl w:val="8DA8C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54D1B96"/>
    <w:multiLevelType w:val="multilevel"/>
    <w:tmpl w:val="5BD2E7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61039C8"/>
    <w:multiLevelType w:val="hybridMultilevel"/>
    <w:tmpl w:val="D4BE30E6"/>
    <w:lvl w:ilvl="0" w:tplc="21B8108E">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38844C29"/>
    <w:multiLevelType w:val="hybridMultilevel"/>
    <w:tmpl w:val="DB0E3986"/>
    <w:lvl w:ilvl="0" w:tplc="684820D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BA27F6D"/>
    <w:multiLevelType w:val="hybridMultilevel"/>
    <w:tmpl w:val="B8BC72EE"/>
    <w:lvl w:ilvl="0" w:tplc="8AD6D28A">
      <w:start w:val="1"/>
      <w:numFmt w:val="bullet"/>
      <w:lvlText w:val=""/>
      <w:lvlJc w:val="left"/>
      <w:pPr>
        <w:tabs>
          <w:tab w:val="num" w:pos="720"/>
        </w:tabs>
        <w:ind w:left="720" w:hanging="360"/>
      </w:pPr>
      <w:rPr>
        <w:rFonts w:ascii="Wingdings" w:hAnsi="Wingdings" w:hint="default"/>
      </w:rPr>
    </w:lvl>
    <w:lvl w:ilvl="1" w:tplc="AA725AA4">
      <w:start w:val="78"/>
      <w:numFmt w:val="bullet"/>
      <w:lvlText w:val=""/>
      <w:lvlJc w:val="left"/>
      <w:pPr>
        <w:tabs>
          <w:tab w:val="num" w:pos="1440"/>
        </w:tabs>
        <w:ind w:left="1440" w:hanging="360"/>
      </w:pPr>
      <w:rPr>
        <w:rFonts w:ascii="Wingdings" w:hAnsi="Wingdings" w:hint="default"/>
      </w:rPr>
    </w:lvl>
    <w:lvl w:ilvl="2" w:tplc="D4266668" w:tentative="1">
      <w:start w:val="1"/>
      <w:numFmt w:val="bullet"/>
      <w:lvlText w:val=""/>
      <w:lvlJc w:val="left"/>
      <w:pPr>
        <w:tabs>
          <w:tab w:val="num" w:pos="2160"/>
        </w:tabs>
        <w:ind w:left="2160" w:hanging="360"/>
      </w:pPr>
      <w:rPr>
        <w:rFonts w:ascii="Wingdings" w:hAnsi="Wingdings" w:hint="default"/>
      </w:rPr>
    </w:lvl>
    <w:lvl w:ilvl="3" w:tplc="3E78DD8E" w:tentative="1">
      <w:start w:val="1"/>
      <w:numFmt w:val="bullet"/>
      <w:lvlText w:val=""/>
      <w:lvlJc w:val="left"/>
      <w:pPr>
        <w:tabs>
          <w:tab w:val="num" w:pos="2880"/>
        </w:tabs>
        <w:ind w:left="2880" w:hanging="360"/>
      </w:pPr>
      <w:rPr>
        <w:rFonts w:ascii="Wingdings" w:hAnsi="Wingdings" w:hint="default"/>
      </w:rPr>
    </w:lvl>
    <w:lvl w:ilvl="4" w:tplc="0F4C2432" w:tentative="1">
      <w:start w:val="1"/>
      <w:numFmt w:val="bullet"/>
      <w:lvlText w:val=""/>
      <w:lvlJc w:val="left"/>
      <w:pPr>
        <w:tabs>
          <w:tab w:val="num" w:pos="3600"/>
        </w:tabs>
        <w:ind w:left="3600" w:hanging="360"/>
      </w:pPr>
      <w:rPr>
        <w:rFonts w:ascii="Wingdings" w:hAnsi="Wingdings" w:hint="default"/>
      </w:rPr>
    </w:lvl>
    <w:lvl w:ilvl="5" w:tplc="06600A02" w:tentative="1">
      <w:start w:val="1"/>
      <w:numFmt w:val="bullet"/>
      <w:lvlText w:val=""/>
      <w:lvlJc w:val="left"/>
      <w:pPr>
        <w:tabs>
          <w:tab w:val="num" w:pos="4320"/>
        </w:tabs>
        <w:ind w:left="4320" w:hanging="360"/>
      </w:pPr>
      <w:rPr>
        <w:rFonts w:ascii="Wingdings" w:hAnsi="Wingdings" w:hint="default"/>
      </w:rPr>
    </w:lvl>
    <w:lvl w:ilvl="6" w:tplc="29FCEE86" w:tentative="1">
      <w:start w:val="1"/>
      <w:numFmt w:val="bullet"/>
      <w:lvlText w:val=""/>
      <w:lvlJc w:val="left"/>
      <w:pPr>
        <w:tabs>
          <w:tab w:val="num" w:pos="5040"/>
        </w:tabs>
        <w:ind w:left="5040" w:hanging="360"/>
      </w:pPr>
      <w:rPr>
        <w:rFonts w:ascii="Wingdings" w:hAnsi="Wingdings" w:hint="default"/>
      </w:rPr>
    </w:lvl>
    <w:lvl w:ilvl="7" w:tplc="38BCDD80" w:tentative="1">
      <w:start w:val="1"/>
      <w:numFmt w:val="bullet"/>
      <w:lvlText w:val=""/>
      <w:lvlJc w:val="left"/>
      <w:pPr>
        <w:tabs>
          <w:tab w:val="num" w:pos="5760"/>
        </w:tabs>
        <w:ind w:left="5760" w:hanging="360"/>
      </w:pPr>
      <w:rPr>
        <w:rFonts w:ascii="Wingdings" w:hAnsi="Wingdings" w:hint="default"/>
      </w:rPr>
    </w:lvl>
    <w:lvl w:ilvl="8" w:tplc="005C1AB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270C24"/>
    <w:multiLevelType w:val="hybridMultilevel"/>
    <w:tmpl w:val="F7AC4B06"/>
    <w:lvl w:ilvl="0" w:tplc="9FB8E92A">
      <w:start w:val="1"/>
      <w:numFmt w:val="bullet"/>
      <w:lvlText w:val=""/>
      <w:lvlJc w:val="left"/>
      <w:pPr>
        <w:tabs>
          <w:tab w:val="num" w:pos="720"/>
        </w:tabs>
        <w:ind w:left="720" w:hanging="360"/>
      </w:pPr>
      <w:rPr>
        <w:rFonts w:ascii="Wingdings" w:hAnsi="Wingdings" w:hint="default"/>
      </w:rPr>
    </w:lvl>
    <w:lvl w:ilvl="1" w:tplc="B0321C04" w:tentative="1">
      <w:start w:val="1"/>
      <w:numFmt w:val="bullet"/>
      <w:lvlText w:val=""/>
      <w:lvlJc w:val="left"/>
      <w:pPr>
        <w:tabs>
          <w:tab w:val="num" w:pos="1440"/>
        </w:tabs>
        <w:ind w:left="1440" w:hanging="360"/>
      </w:pPr>
      <w:rPr>
        <w:rFonts w:ascii="Wingdings" w:hAnsi="Wingdings" w:hint="default"/>
      </w:rPr>
    </w:lvl>
    <w:lvl w:ilvl="2" w:tplc="433266F0" w:tentative="1">
      <w:start w:val="1"/>
      <w:numFmt w:val="bullet"/>
      <w:lvlText w:val=""/>
      <w:lvlJc w:val="left"/>
      <w:pPr>
        <w:tabs>
          <w:tab w:val="num" w:pos="2160"/>
        </w:tabs>
        <w:ind w:left="2160" w:hanging="360"/>
      </w:pPr>
      <w:rPr>
        <w:rFonts w:ascii="Wingdings" w:hAnsi="Wingdings" w:hint="default"/>
      </w:rPr>
    </w:lvl>
    <w:lvl w:ilvl="3" w:tplc="8BBADF68" w:tentative="1">
      <w:start w:val="1"/>
      <w:numFmt w:val="bullet"/>
      <w:lvlText w:val=""/>
      <w:lvlJc w:val="left"/>
      <w:pPr>
        <w:tabs>
          <w:tab w:val="num" w:pos="2880"/>
        </w:tabs>
        <w:ind w:left="2880" w:hanging="360"/>
      </w:pPr>
      <w:rPr>
        <w:rFonts w:ascii="Wingdings" w:hAnsi="Wingdings" w:hint="default"/>
      </w:rPr>
    </w:lvl>
    <w:lvl w:ilvl="4" w:tplc="51FA438C" w:tentative="1">
      <w:start w:val="1"/>
      <w:numFmt w:val="bullet"/>
      <w:lvlText w:val=""/>
      <w:lvlJc w:val="left"/>
      <w:pPr>
        <w:tabs>
          <w:tab w:val="num" w:pos="3600"/>
        </w:tabs>
        <w:ind w:left="3600" w:hanging="360"/>
      </w:pPr>
      <w:rPr>
        <w:rFonts w:ascii="Wingdings" w:hAnsi="Wingdings" w:hint="default"/>
      </w:rPr>
    </w:lvl>
    <w:lvl w:ilvl="5" w:tplc="C92AFCB8" w:tentative="1">
      <w:start w:val="1"/>
      <w:numFmt w:val="bullet"/>
      <w:lvlText w:val=""/>
      <w:lvlJc w:val="left"/>
      <w:pPr>
        <w:tabs>
          <w:tab w:val="num" w:pos="4320"/>
        </w:tabs>
        <w:ind w:left="4320" w:hanging="360"/>
      </w:pPr>
      <w:rPr>
        <w:rFonts w:ascii="Wingdings" w:hAnsi="Wingdings" w:hint="default"/>
      </w:rPr>
    </w:lvl>
    <w:lvl w:ilvl="6" w:tplc="E81AE7C0" w:tentative="1">
      <w:start w:val="1"/>
      <w:numFmt w:val="bullet"/>
      <w:lvlText w:val=""/>
      <w:lvlJc w:val="left"/>
      <w:pPr>
        <w:tabs>
          <w:tab w:val="num" w:pos="5040"/>
        </w:tabs>
        <w:ind w:left="5040" w:hanging="360"/>
      </w:pPr>
      <w:rPr>
        <w:rFonts w:ascii="Wingdings" w:hAnsi="Wingdings" w:hint="default"/>
      </w:rPr>
    </w:lvl>
    <w:lvl w:ilvl="7" w:tplc="66AAE002" w:tentative="1">
      <w:start w:val="1"/>
      <w:numFmt w:val="bullet"/>
      <w:lvlText w:val=""/>
      <w:lvlJc w:val="left"/>
      <w:pPr>
        <w:tabs>
          <w:tab w:val="num" w:pos="5760"/>
        </w:tabs>
        <w:ind w:left="5760" w:hanging="360"/>
      </w:pPr>
      <w:rPr>
        <w:rFonts w:ascii="Wingdings" w:hAnsi="Wingdings" w:hint="default"/>
      </w:rPr>
    </w:lvl>
    <w:lvl w:ilvl="8" w:tplc="34446DB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CD3938"/>
    <w:multiLevelType w:val="hybridMultilevel"/>
    <w:tmpl w:val="3ABA567E"/>
    <w:lvl w:ilvl="0" w:tplc="77B849EC">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6B439EC"/>
    <w:multiLevelType w:val="hybridMultilevel"/>
    <w:tmpl w:val="22B25DDE"/>
    <w:lvl w:ilvl="0" w:tplc="673A83DA">
      <w:start w:val="1"/>
      <w:numFmt w:val="decimal"/>
      <w:lvlText w:val="%1-"/>
      <w:lvlJc w:val="left"/>
      <w:pPr>
        <w:ind w:left="720" w:hanging="36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A917289"/>
    <w:multiLevelType w:val="hybridMultilevel"/>
    <w:tmpl w:val="9DC2971A"/>
    <w:lvl w:ilvl="0" w:tplc="21B8108E">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4AC660B6"/>
    <w:multiLevelType w:val="hybridMultilevel"/>
    <w:tmpl w:val="505E83C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4B9E24EF"/>
    <w:multiLevelType w:val="hybridMultilevel"/>
    <w:tmpl w:val="1B54D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BA944B7"/>
    <w:multiLevelType w:val="hybridMultilevel"/>
    <w:tmpl w:val="E8AC9EF4"/>
    <w:lvl w:ilvl="0" w:tplc="856E355A">
      <w:start w:val="1"/>
      <w:numFmt w:val="bullet"/>
      <w:lvlText w:val=""/>
      <w:lvlJc w:val="left"/>
      <w:pPr>
        <w:tabs>
          <w:tab w:val="num" w:pos="720"/>
        </w:tabs>
        <w:ind w:left="720" w:hanging="360"/>
      </w:pPr>
      <w:rPr>
        <w:rFonts w:ascii="Wingdings" w:hAnsi="Wingdings" w:hint="default"/>
      </w:rPr>
    </w:lvl>
    <w:lvl w:ilvl="1" w:tplc="18D4E6BC">
      <w:start w:val="78"/>
      <w:numFmt w:val="bullet"/>
      <w:lvlText w:val=""/>
      <w:lvlJc w:val="left"/>
      <w:pPr>
        <w:tabs>
          <w:tab w:val="num" w:pos="1440"/>
        </w:tabs>
        <w:ind w:left="1440" w:hanging="360"/>
      </w:pPr>
      <w:rPr>
        <w:rFonts w:ascii="Wingdings" w:hAnsi="Wingdings" w:hint="default"/>
      </w:rPr>
    </w:lvl>
    <w:lvl w:ilvl="2" w:tplc="623AE310">
      <w:start w:val="78"/>
      <w:numFmt w:val="bullet"/>
      <w:lvlText w:val="•"/>
      <w:lvlJc w:val="left"/>
      <w:pPr>
        <w:tabs>
          <w:tab w:val="num" w:pos="2160"/>
        </w:tabs>
        <w:ind w:left="2160" w:hanging="360"/>
      </w:pPr>
      <w:rPr>
        <w:rFonts w:ascii="Arial" w:hAnsi="Arial" w:hint="default"/>
      </w:rPr>
    </w:lvl>
    <w:lvl w:ilvl="3" w:tplc="92323380" w:tentative="1">
      <w:start w:val="1"/>
      <w:numFmt w:val="bullet"/>
      <w:lvlText w:val=""/>
      <w:lvlJc w:val="left"/>
      <w:pPr>
        <w:tabs>
          <w:tab w:val="num" w:pos="2880"/>
        </w:tabs>
        <w:ind w:left="2880" w:hanging="360"/>
      </w:pPr>
      <w:rPr>
        <w:rFonts w:ascii="Wingdings" w:hAnsi="Wingdings" w:hint="default"/>
      </w:rPr>
    </w:lvl>
    <w:lvl w:ilvl="4" w:tplc="468CB488" w:tentative="1">
      <w:start w:val="1"/>
      <w:numFmt w:val="bullet"/>
      <w:lvlText w:val=""/>
      <w:lvlJc w:val="left"/>
      <w:pPr>
        <w:tabs>
          <w:tab w:val="num" w:pos="3600"/>
        </w:tabs>
        <w:ind w:left="3600" w:hanging="360"/>
      </w:pPr>
      <w:rPr>
        <w:rFonts w:ascii="Wingdings" w:hAnsi="Wingdings" w:hint="default"/>
      </w:rPr>
    </w:lvl>
    <w:lvl w:ilvl="5" w:tplc="6A0E3CD0" w:tentative="1">
      <w:start w:val="1"/>
      <w:numFmt w:val="bullet"/>
      <w:lvlText w:val=""/>
      <w:lvlJc w:val="left"/>
      <w:pPr>
        <w:tabs>
          <w:tab w:val="num" w:pos="4320"/>
        </w:tabs>
        <w:ind w:left="4320" w:hanging="360"/>
      </w:pPr>
      <w:rPr>
        <w:rFonts w:ascii="Wingdings" w:hAnsi="Wingdings" w:hint="default"/>
      </w:rPr>
    </w:lvl>
    <w:lvl w:ilvl="6" w:tplc="65E687CC" w:tentative="1">
      <w:start w:val="1"/>
      <w:numFmt w:val="bullet"/>
      <w:lvlText w:val=""/>
      <w:lvlJc w:val="left"/>
      <w:pPr>
        <w:tabs>
          <w:tab w:val="num" w:pos="5040"/>
        </w:tabs>
        <w:ind w:left="5040" w:hanging="360"/>
      </w:pPr>
      <w:rPr>
        <w:rFonts w:ascii="Wingdings" w:hAnsi="Wingdings" w:hint="default"/>
      </w:rPr>
    </w:lvl>
    <w:lvl w:ilvl="7" w:tplc="2772B9C2" w:tentative="1">
      <w:start w:val="1"/>
      <w:numFmt w:val="bullet"/>
      <w:lvlText w:val=""/>
      <w:lvlJc w:val="left"/>
      <w:pPr>
        <w:tabs>
          <w:tab w:val="num" w:pos="5760"/>
        </w:tabs>
        <w:ind w:left="5760" w:hanging="360"/>
      </w:pPr>
      <w:rPr>
        <w:rFonts w:ascii="Wingdings" w:hAnsi="Wingdings" w:hint="default"/>
      </w:rPr>
    </w:lvl>
    <w:lvl w:ilvl="8" w:tplc="E0D0470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FB5405"/>
    <w:multiLevelType w:val="hybridMultilevel"/>
    <w:tmpl w:val="1C928500"/>
    <w:lvl w:ilvl="0" w:tplc="5F3CE95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35E0DF1"/>
    <w:multiLevelType w:val="multilevel"/>
    <w:tmpl w:val="55C601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BDA757F"/>
    <w:multiLevelType w:val="hybridMultilevel"/>
    <w:tmpl w:val="A38CB44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5E3A1C5A"/>
    <w:multiLevelType w:val="hybridMultilevel"/>
    <w:tmpl w:val="81BA5DF4"/>
    <w:lvl w:ilvl="0" w:tplc="2CC85D74">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243697D"/>
    <w:multiLevelType w:val="hybridMultilevel"/>
    <w:tmpl w:val="7F9AC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34943A6"/>
    <w:multiLevelType w:val="hybridMultilevel"/>
    <w:tmpl w:val="EDDCCE1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511033D"/>
    <w:multiLevelType w:val="hybridMultilevel"/>
    <w:tmpl w:val="06DEBB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65275BA9"/>
    <w:multiLevelType w:val="hybridMultilevel"/>
    <w:tmpl w:val="3906F308"/>
    <w:lvl w:ilvl="0" w:tplc="7C0A199E">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62D2B69"/>
    <w:multiLevelType w:val="hybridMultilevel"/>
    <w:tmpl w:val="632AA6EA"/>
    <w:lvl w:ilvl="0" w:tplc="7160CA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7556B3C"/>
    <w:multiLevelType w:val="hybridMultilevel"/>
    <w:tmpl w:val="70B2EE88"/>
    <w:lvl w:ilvl="0" w:tplc="E2B27F20">
      <w:start w:val="1"/>
      <w:numFmt w:val="decimal"/>
      <w:lvlText w:val="%1-"/>
      <w:lvlJc w:val="left"/>
      <w:pPr>
        <w:ind w:left="360" w:hanging="360"/>
      </w:pPr>
      <w:rPr>
        <w:rFonts w:hint="default"/>
        <w:b/>
        <w:sz w:val="28"/>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67B551A0"/>
    <w:multiLevelType w:val="multilevel"/>
    <w:tmpl w:val="55C601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8042B2A"/>
    <w:multiLevelType w:val="hybridMultilevel"/>
    <w:tmpl w:val="A14A3FCA"/>
    <w:lvl w:ilvl="0" w:tplc="2F7885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91A4A91"/>
    <w:multiLevelType w:val="hybridMultilevel"/>
    <w:tmpl w:val="E1F047A4"/>
    <w:lvl w:ilvl="0" w:tplc="D0525AF8">
      <w:start w:val="1"/>
      <w:numFmt w:val="bullet"/>
      <w:lvlText w:val=""/>
      <w:lvlJc w:val="left"/>
      <w:pPr>
        <w:tabs>
          <w:tab w:val="num" w:pos="720"/>
        </w:tabs>
        <w:ind w:left="720" w:hanging="360"/>
      </w:pPr>
      <w:rPr>
        <w:rFonts w:ascii="Wingdings" w:hAnsi="Wingdings" w:hint="default"/>
      </w:rPr>
    </w:lvl>
    <w:lvl w:ilvl="1" w:tplc="6C62664A">
      <w:start w:val="1"/>
      <w:numFmt w:val="bullet"/>
      <w:lvlText w:val=""/>
      <w:lvlJc w:val="left"/>
      <w:pPr>
        <w:tabs>
          <w:tab w:val="num" w:pos="1440"/>
        </w:tabs>
        <w:ind w:left="1440" w:hanging="360"/>
      </w:pPr>
      <w:rPr>
        <w:rFonts w:ascii="Wingdings" w:hAnsi="Wingdings" w:hint="default"/>
      </w:rPr>
    </w:lvl>
    <w:lvl w:ilvl="2" w:tplc="7BF86DC6">
      <w:start w:val="78"/>
      <w:numFmt w:val="bullet"/>
      <w:lvlText w:val=""/>
      <w:lvlJc w:val="left"/>
      <w:pPr>
        <w:tabs>
          <w:tab w:val="num" w:pos="2160"/>
        </w:tabs>
        <w:ind w:left="2160" w:hanging="360"/>
      </w:pPr>
      <w:rPr>
        <w:rFonts w:ascii="Wingdings" w:hAnsi="Wingdings" w:hint="default"/>
      </w:rPr>
    </w:lvl>
    <w:lvl w:ilvl="3" w:tplc="E14A59A0" w:tentative="1">
      <w:start w:val="1"/>
      <w:numFmt w:val="bullet"/>
      <w:lvlText w:val=""/>
      <w:lvlJc w:val="left"/>
      <w:pPr>
        <w:tabs>
          <w:tab w:val="num" w:pos="2880"/>
        </w:tabs>
        <w:ind w:left="2880" w:hanging="360"/>
      </w:pPr>
      <w:rPr>
        <w:rFonts w:ascii="Wingdings" w:hAnsi="Wingdings" w:hint="default"/>
      </w:rPr>
    </w:lvl>
    <w:lvl w:ilvl="4" w:tplc="D35C1486" w:tentative="1">
      <w:start w:val="1"/>
      <w:numFmt w:val="bullet"/>
      <w:lvlText w:val=""/>
      <w:lvlJc w:val="left"/>
      <w:pPr>
        <w:tabs>
          <w:tab w:val="num" w:pos="3600"/>
        </w:tabs>
        <w:ind w:left="3600" w:hanging="360"/>
      </w:pPr>
      <w:rPr>
        <w:rFonts w:ascii="Wingdings" w:hAnsi="Wingdings" w:hint="default"/>
      </w:rPr>
    </w:lvl>
    <w:lvl w:ilvl="5" w:tplc="D85CC97E" w:tentative="1">
      <w:start w:val="1"/>
      <w:numFmt w:val="bullet"/>
      <w:lvlText w:val=""/>
      <w:lvlJc w:val="left"/>
      <w:pPr>
        <w:tabs>
          <w:tab w:val="num" w:pos="4320"/>
        </w:tabs>
        <w:ind w:left="4320" w:hanging="360"/>
      </w:pPr>
      <w:rPr>
        <w:rFonts w:ascii="Wingdings" w:hAnsi="Wingdings" w:hint="default"/>
      </w:rPr>
    </w:lvl>
    <w:lvl w:ilvl="6" w:tplc="973C3C58" w:tentative="1">
      <w:start w:val="1"/>
      <w:numFmt w:val="bullet"/>
      <w:lvlText w:val=""/>
      <w:lvlJc w:val="left"/>
      <w:pPr>
        <w:tabs>
          <w:tab w:val="num" w:pos="5040"/>
        </w:tabs>
        <w:ind w:left="5040" w:hanging="360"/>
      </w:pPr>
      <w:rPr>
        <w:rFonts w:ascii="Wingdings" w:hAnsi="Wingdings" w:hint="default"/>
      </w:rPr>
    </w:lvl>
    <w:lvl w:ilvl="7" w:tplc="82C2E6EA" w:tentative="1">
      <w:start w:val="1"/>
      <w:numFmt w:val="bullet"/>
      <w:lvlText w:val=""/>
      <w:lvlJc w:val="left"/>
      <w:pPr>
        <w:tabs>
          <w:tab w:val="num" w:pos="5760"/>
        </w:tabs>
        <w:ind w:left="5760" w:hanging="360"/>
      </w:pPr>
      <w:rPr>
        <w:rFonts w:ascii="Wingdings" w:hAnsi="Wingdings" w:hint="default"/>
      </w:rPr>
    </w:lvl>
    <w:lvl w:ilvl="8" w:tplc="23D4C5FE"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2C2BD7"/>
    <w:multiLevelType w:val="hybridMultilevel"/>
    <w:tmpl w:val="E9842356"/>
    <w:lvl w:ilvl="0" w:tplc="2120228E">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C7050B4"/>
    <w:multiLevelType w:val="multilevel"/>
    <w:tmpl w:val="87EC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9B78FA"/>
    <w:multiLevelType w:val="hybridMultilevel"/>
    <w:tmpl w:val="D3945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3666352"/>
    <w:multiLevelType w:val="hybridMultilevel"/>
    <w:tmpl w:val="0276B2BA"/>
    <w:lvl w:ilvl="0" w:tplc="21B8108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571337D"/>
    <w:multiLevelType w:val="hybridMultilevel"/>
    <w:tmpl w:val="11DEAEC8"/>
    <w:lvl w:ilvl="0" w:tplc="17CC530E">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A02642C"/>
    <w:multiLevelType w:val="hybridMultilevel"/>
    <w:tmpl w:val="65BC7640"/>
    <w:lvl w:ilvl="0" w:tplc="17CC530E">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DCD7CFC"/>
    <w:multiLevelType w:val="hybridMultilevel"/>
    <w:tmpl w:val="661E213A"/>
    <w:lvl w:ilvl="0" w:tplc="33361656">
      <w:start w:val="1"/>
      <w:numFmt w:val="bullet"/>
      <w:lvlText w:val=""/>
      <w:lvlJc w:val="left"/>
      <w:pPr>
        <w:tabs>
          <w:tab w:val="num" w:pos="720"/>
        </w:tabs>
        <w:ind w:left="720" w:hanging="360"/>
      </w:pPr>
      <w:rPr>
        <w:rFonts w:ascii="Wingdings" w:hAnsi="Wingdings" w:hint="default"/>
      </w:rPr>
    </w:lvl>
    <w:lvl w:ilvl="1" w:tplc="2054A826">
      <w:start w:val="1"/>
      <w:numFmt w:val="bullet"/>
      <w:lvlText w:val=""/>
      <w:lvlJc w:val="left"/>
      <w:pPr>
        <w:tabs>
          <w:tab w:val="num" w:pos="1440"/>
        </w:tabs>
        <w:ind w:left="1440" w:hanging="360"/>
      </w:pPr>
      <w:rPr>
        <w:rFonts w:ascii="Wingdings" w:hAnsi="Wingdings" w:hint="default"/>
      </w:rPr>
    </w:lvl>
    <w:lvl w:ilvl="2" w:tplc="3CEED66E">
      <w:start w:val="78"/>
      <w:numFmt w:val="bullet"/>
      <w:lvlText w:val=""/>
      <w:lvlJc w:val="left"/>
      <w:pPr>
        <w:tabs>
          <w:tab w:val="num" w:pos="2160"/>
        </w:tabs>
        <w:ind w:left="2160" w:hanging="360"/>
      </w:pPr>
      <w:rPr>
        <w:rFonts w:ascii="Wingdings" w:hAnsi="Wingdings" w:hint="default"/>
      </w:rPr>
    </w:lvl>
    <w:lvl w:ilvl="3" w:tplc="DFECE298" w:tentative="1">
      <w:start w:val="1"/>
      <w:numFmt w:val="bullet"/>
      <w:lvlText w:val=""/>
      <w:lvlJc w:val="left"/>
      <w:pPr>
        <w:tabs>
          <w:tab w:val="num" w:pos="2880"/>
        </w:tabs>
        <w:ind w:left="2880" w:hanging="360"/>
      </w:pPr>
      <w:rPr>
        <w:rFonts w:ascii="Wingdings" w:hAnsi="Wingdings" w:hint="default"/>
      </w:rPr>
    </w:lvl>
    <w:lvl w:ilvl="4" w:tplc="75EE888C" w:tentative="1">
      <w:start w:val="1"/>
      <w:numFmt w:val="bullet"/>
      <w:lvlText w:val=""/>
      <w:lvlJc w:val="left"/>
      <w:pPr>
        <w:tabs>
          <w:tab w:val="num" w:pos="3600"/>
        </w:tabs>
        <w:ind w:left="3600" w:hanging="360"/>
      </w:pPr>
      <w:rPr>
        <w:rFonts w:ascii="Wingdings" w:hAnsi="Wingdings" w:hint="default"/>
      </w:rPr>
    </w:lvl>
    <w:lvl w:ilvl="5" w:tplc="06E262B0" w:tentative="1">
      <w:start w:val="1"/>
      <w:numFmt w:val="bullet"/>
      <w:lvlText w:val=""/>
      <w:lvlJc w:val="left"/>
      <w:pPr>
        <w:tabs>
          <w:tab w:val="num" w:pos="4320"/>
        </w:tabs>
        <w:ind w:left="4320" w:hanging="360"/>
      </w:pPr>
      <w:rPr>
        <w:rFonts w:ascii="Wingdings" w:hAnsi="Wingdings" w:hint="default"/>
      </w:rPr>
    </w:lvl>
    <w:lvl w:ilvl="6" w:tplc="69CC56B0" w:tentative="1">
      <w:start w:val="1"/>
      <w:numFmt w:val="bullet"/>
      <w:lvlText w:val=""/>
      <w:lvlJc w:val="left"/>
      <w:pPr>
        <w:tabs>
          <w:tab w:val="num" w:pos="5040"/>
        </w:tabs>
        <w:ind w:left="5040" w:hanging="360"/>
      </w:pPr>
      <w:rPr>
        <w:rFonts w:ascii="Wingdings" w:hAnsi="Wingdings" w:hint="default"/>
      </w:rPr>
    </w:lvl>
    <w:lvl w:ilvl="7" w:tplc="3A321EA4" w:tentative="1">
      <w:start w:val="1"/>
      <w:numFmt w:val="bullet"/>
      <w:lvlText w:val=""/>
      <w:lvlJc w:val="left"/>
      <w:pPr>
        <w:tabs>
          <w:tab w:val="num" w:pos="5760"/>
        </w:tabs>
        <w:ind w:left="5760" w:hanging="360"/>
      </w:pPr>
      <w:rPr>
        <w:rFonts w:ascii="Wingdings" w:hAnsi="Wingdings" w:hint="default"/>
      </w:rPr>
    </w:lvl>
    <w:lvl w:ilvl="8" w:tplc="E064F6C4"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AB35CB"/>
    <w:multiLevelType w:val="hybridMultilevel"/>
    <w:tmpl w:val="F682A23E"/>
    <w:lvl w:ilvl="0" w:tplc="17CC530E">
      <w:start w:val="1"/>
      <w:numFmt w:val="bullet"/>
      <w:lvlText w:val="-"/>
      <w:lvlJc w:val="left"/>
      <w:pPr>
        <w:ind w:left="786"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33"/>
  </w:num>
  <w:num w:numId="4">
    <w:abstractNumId w:val="2"/>
  </w:num>
  <w:num w:numId="5">
    <w:abstractNumId w:val="14"/>
  </w:num>
  <w:num w:numId="6">
    <w:abstractNumId w:val="19"/>
  </w:num>
  <w:num w:numId="7">
    <w:abstractNumId w:val="42"/>
  </w:num>
  <w:num w:numId="8">
    <w:abstractNumId w:val="45"/>
  </w:num>
  <w:num w:numId="9">
    <w:abstractNumId w:val="20"/>
  </w:num>
  <w:num w:numId="10">
    <w:abstractNumId w:val="29"/>
  </w:num>
  <w:num w:numId="11">
    <w:abstractNumId w:val="1"/>
  </w:num>
  <w:num w:numId="12">
    <w:abstractNumId w:val="7"/>
  </w:num>
  <w:num w:numId="13">
    <w:abstractNumId w:val="13"/>
  </w:num>
  <w:num w:numId="14">
    <w:abstractNumId w:val="35"/>
  </w:num>
  <w:num w:numId="15">
    <w:abstractNumId w:val="0"/>
  </w:num>
  <w:num w:numId="16">
    <w:abstractNumId w:val="11"/>
  </w:num>
  <w:num w:numId="17">
    <w:abstractNumId w:val="55"/>
  </w:num>
  <w:num w:numId="18">
    <w:abstractNumId w:val="48"/>
  </w:num>
  <w:num w:numId="19">
    <w:abstractNumId w:val="28"/>
  </w:num>
  <w:num w:numId="20">
    <w:abstractNumId w:val="4"/>
  </w:num>
  <w:num w:numId="21">
    <w:abstractNumId w:val="46"/>
  </w:num>
  <w:num w:numId="22">
    <w:abstractNumId w:val="16"/>
  </w:num>
  <w:num w:numId="23">
    <w:abstractNumId w:val="34"/>
  </w:num>
  <w:num w:numId="24">
    <w:abstractNumId w:val="8"/>
  </w:num>
  <w:num w:numId="25">
    <w:abstractNumId w:val="6"/>
  </w:num>
  <w:num w:numId="26">
    <w:abstractNumId w:val="27"/>
  </w:num>
  <w:num w:numId="27">
    <w:abstractNumId w:val="44"/>
  </w:num>
  <w:num w:numId="28">
    <w:abstractNumId w:val="15"/>
  </w:num>
  <w:num w:numId="29">
    <w:abstractNumId w:val="24"/>
  </w:num>
  <w:num w:numId="30">
    <w:abstractNumId w:val="9"/>
  </w:num>
  <w:num w:numId="31">
    <w:abstractNumId w:val="41"/>
  </w:num>
  <w:num w:numId="32">
    <w:abstractNumId w:val="38"/>
  </w:num>
  <w:num w:numId="33">
    <w:abstractNumId w:val="51"/>
  </w:num>
  <w:num w:numId="34">
    <w:abstractNumId w:val="56"/>
  </w:num>
  <w:num w:numId="35">
    <w:abstractNumId w:val="21"/>
  </w:num>
  <w:num w:numId="36">
    <w:abstractNumId w:val="53"/>
  </w:num>
  <w:num w:numId="37">
    <w:abstractNumId w:val="23"/>
  </w:num>
  <w:num w:numId="38">
    <w:abstractNumId w:val="25"/>
  </w:num>
  <w:num w:numId="39">
    <w:abstractNumId w:val="18"/>
  </w:num>
  <w:num w:numId="40">
    <w:abstractNumId w:val="37"/>
  </w:num>
  <w:num w:numId="41">
    <w:abstractNumId w:val="54"/>
  </w:num>
  <w:num w:numId="42">
    <w:abstractNumId w:val="12"/>
  </w:num>
  <w:num w:numId="43">
    <w:abstractNumId w:val="40"/>
  </w:num>
  <w:num w:numId="44">
    <w:abstractNumId w:val="5"/>
  </w:num>
  <w:num w:numId="45">
    <w:abstractNumId w:val="10"/>
  </w:num>
  <w:num w:numId="46">
    <w:abstractNumId w:val="26"/>
  </w:num>
  <w:num w:numId="47">
    <w:abstractNumId w:val="32"/>
  </w:num>
  <w:num w:numId="48">
    <w:abstractNumId w:val="36"/>
  </w:num>
  <w:num w:numId="49">
    <w:abstractNumId w:val="39"/>
  </w:num>
  <w:num w:numId="50">
    <w:abstractNumId w:val="3"/>
  </w:num>
  <w:num w:numId="51">
    <w:abstractNumId w:val="52"/>
  </w:num>
  <w:num w:numId="52">
    <w:abstractNumId w:val="17"/>
  </w:num>
  <w:num w:numId="53">
    <w:abstractNumId w:val="30"/>
  </w:num>
  <w:num w:numId="54">
    <w:abstractNumId w:val="50"/>
  </w:num>
  <w:num w:numId="55">
    <w:abstractNumId w:val="43"/>
  </w:num>
  <w:num w:numId="56">
    <w:abstractNumId w:val="49"/>
  </w:num>
  <w:num w:numId="57">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A6"/>
    <w:rsid w:val="00006CCC"/>
    <w:rsid w:val="00016608"/>
    <w:rsid w:val="00017BF9"/>
    <w:rsid w:val="000229B7"/>
    <w:rsid w:val="00025BA0"/>
    <w:rsid w:val="00026580"/>
    <w:rsid w:val="000307FD"/>
    <w:rsid w:val="000315FF"/>
    <w:rsid w:val="00035FEC"/>
    <w:rsid w:val="0004528D"/>
    <w:rsid w:val="000475AC"/>
    <w:rsid w:val="000526C1"/>
    <w:rsid w:val="000547A2"/>
    <w:rsid w:val="00055730"/>
    <w:rsid w:val="00055B63"/>
    <w:rsid w:val="0006640A"/>
    <w:rsid w:val="00072FF4"/>
    <w:rsid w:val="00076C02"/>
    <w:rsid w:val="000908F0"/>
    <w:rsid w:val="000921A1"/>
    <w:rsid w:val="000947BC"/>
    <w:rsid w:val="00095304"/>
    <w:rsid w:val="00097A36"/>
    <w:rsid w:val="000A154F"/>
    <w:rsid w:val="000A7FDD"/>
    <w:rsid w:val="000B2267"/>
    <w:rsid w:val="000B2876"/>
    <w:rsid w:val="000B6A77"/>
    <w:rsid w:val="000C0F19"/>
    <w:rsid w:val="000C243D"/>
    <w:rsid w:val="000C2FD8"/>
    <w:rsid w:val="000C40F7"/>
    <w:rsid w:val="000C4196"/>
    <w:rsid w:val="000C6AA0"/>
    <w:rsid w:val="000D3D57"/>
    <w:rsid w:val="000D3F83"/>
    <w:rsid w:val="000D51CF"/>
    <w:rsid w:val="000E0185"/>
    <w:rsid w:val="000E3404"/>
    <w:rsid w:val="000E5E26"/>
    <w:rsid w:val="000F0AAE"/>
    <w:rsid w:val="000F1805"/>
    <w:rsid w:val="000F266F"/>
    <w:rsid w:val="000F2D27"/>
    <w:rsid w:val="00101AFD"/>
    <w:rsid w:val="00102E5A"/>
    <w:rsid w:val="0010336E"/>
    <w:rsid w:val="00106A33"/>
    <w:rsid w:val="00106F62"/>
    <w:rsid w:val="001120A1"/>
    <w:rsid w:val="0011464D"/>
    <w:rsid w:val="00114D74"/>
    <w:rsid w:val="00122A62"/>
    <w:rsid w:val="001249E9"/>
    <w:rsid w:val="00134B70"/>
    <w:rsid w:val="00135BC6"/>
    <w:rsid w:val="00137AB0"/>
    <w:rsid w:val="0014270D"/>
    <w:rsid w:val="001430FF"/>
    <w:rsid w:val="00146C8C"/>
    <w:rsid w:val="00151066"/>
    <w:rsid w:val="001542DD"/>
    <w:rsid w:val="00154D85"/>
    <w:rsid w:val="00154D8C"/>
    <w:rsid w:val="00166904"/>
    <w:rsid w:val="00174DEA"/>
    <w:rsid w:val="00175B95"/>
    <w:rsid w:val="00176A1F"/>
    <w:rsid w:val="0017756E"/>
    <w:rsid w:val="0018098F"/>
    <w:rsid w:val="00180E84"/>
    <w:rsid w:val="00182B74"/>
    <w:rsid w:val="001867B3"/>
    <w:rsid w:val="00187017"/>
    <w:rsid w:val="0019308A"/>
    <w:rsid w:val="001A7D01"/>
    <w:rsid w:val="001B0F92"/>
    <w:rsid w:val="001B256B"/>
    <w:rsid w:val="001C3B8C"/>
    <w:rsid w:val="001C5B54"/>
    <w:rsid w:val="001D09EB"/>
    <w:rsid w:val="001D3494"/>
    <w:rsid w:val="001D3B3C"/>
    <w:rsid w:val="001E18D4"/>
    <w:rsid w:val="001E3F80"/>
    <w:rsid w:val="001E5DB0"/>
    <w:rsid w:val="001E6062"/>
    <w:rsid w:val="001F16EB"/>
    <w:rsid w:val="001F1B77"/>
    <w:rsid w:val="00201B83"/>
    <w:rsid w:val="00205382"/>
    <w:rsid w:val="0020560E"/>
    <w:rsid w:val="00205D0D"/>
    <w:rsid w:val="002064DF"/>
    <w:rsid w:val="002126E7"/>
    <w:rsid w:val="0021315B"/>
    <w:rsid w:val="00216222"/>
    <w:rsid w:val="002240EC"/>
    <w:rsid w:val="00225FA2"/>
    <w:rsid w:val="002336D9"/>
    <w:rsid w:val="0023625A"/>
    <w:rsid w:val="00237E4C"/>
    <w:rsid w:val="00246540"/>
    <w:rsid w:val="0024736B"/>
    <w:rsid w:val="00247D33"/>
    <w:rsid w:val="00247DA8"/>
    <w:rsid w:val="00250D0D"/>
    <w:rsid w:val="00250DBC"/>
    <w:rsid w:val="00251CE5"/>
    <w:rsid w:val="00254346"/>
    <w:rsid w:val="0026054C"/>
    <w:rsid w:val="00262D5F"/>
    <w:rsid w:val="00281C5A"/>
    <w:rsid w:val="00283387"/>
    <w:rsid w:val="002862D0"/>
    <w:rsid w:val="002864E4"/>
    <w:rsid w:val="002909F2"/>
    <w:rsid w:val="00290A90"/>
    <w:rsid w:val="00291CBF"/>
    <w:rsid w:val="002958AE"/>
    <w:rsid w:val="002A1FDA"/>
    <w:rsid w:val="002A7820"/>
    <w:rsid w:val="002B079E"/>
    <w:rsid w:val="002B41F2"/>
    <w:rsid w:val="002B7728"/>
    <w:rsid w:val="002B77BD"/>
    <w:rsid w:val="002C350E"/>
    <w:rsid w:val="002C3B9F"/>
    <w:rsid w:val="002C644D"/>
    <w:rsid w:val="002D2A45"/>
    <w:rsid w:val="002D2B9C"/>
    <w:rsid w:val="002D4598"/>
    <w:rsid w:val="002D7D70"/>
    <w:rsid w:val="002E0E36"/>
    <w:rsid w:val="002E2EFC"/>
    <w:rsid w:val="002E3D3D"/>
    <w:rsid w:val="002F3BA3"/>
    <w:rsid w:val="00304B45"/>
    <w:rsid w:val="00304EAF"/>
    <w:rsid w:val="003057DD"/>
    <w:rsid w:val="00310F78"/>
    <w:rsid w:val="003132C2"/>
    <w:rsid w:val="0031712C"/>
    <w:rsid w:val="0032133E"/>
    <w:rsid w:val="00330517"/>
    <w:rsid w:val="00330FD7"/>
    <w:rsid w:val="00331638"/>
    <w:rsid w:val="003318B8"/>
    <w:rsid w:val="00332BDB"/>
    <w:rsid w:val="00332C47"/>
    <w:rsid w:val="003343AD"/>
    <w:rsid w:val="00335365"/>
    <w:rsid w:val="00336C98"/>
    <w:rsid w:val="00341099"/>
    <w:rsid w:val="003444BB"/>
    <w:rsid w:val="00346EC6"/>
    <w:rsid w:val="003602AC"/>
    <w:rsid w:val="00362C68"/>
    <w:rsid w:val="0036342A"/>
    <w:rsid w:val="00363B16"/>
    <w:rsid w:val="00365FBC"/>
    <w:rsid w:val="00370676"/>
    <w:rsid w:val="00371E42"/>
    <w:rsid w:val="00373761"/>
    <w:rsid w:val="00383C97"/>
    <w:rsid w:val="00385627"/>
    <w:rsid w:val="003866BA"/>
    <w:rsid w:val="00392392"/>
    <w:rsid w:val="003943A1"/>
    <w:rsid w:val="003948F5"/>
    <w:rsid w:val="00394E7E"/>
    <w:rsid w:val="00397E39"/>
    <w:rsid w:val="003A2249"/>
    <w:rsid w:val="003A63F6"/>
    <w:rsid w:val="003B094A"/>
    <w:rsid w:val="003B1340"/>
    <w:rsid w:val="003B78F4"/>
    <w:rsid w:val="003C1EB9"/>
    <w:rsid w:val="003C5C80"/>
    <w:rsid w:val="003C6873"/>
    <w:rsid w:val="003C6FEB"/>
    <w:rsid w:val="003C7371"/>
    <w:rsid w:val="003D62A2"/>
    <w:rsid w:val="003D748D"/>
    <w:rsid w:val="003D7E45"/>
    <w:rsid w:val="003E511A"/>
    <w:rsid w:val="003E513B"/>
    <w:rsid w:val="003E58AD"/>
    <w:rsid w:val="003E785C"/>
    <w:rsid w:val="003F0AD5"/>
    <w:rsid w:val="003F0E55"/>
    <w:rsid w:val="003F4DC9"/>
    <w:rsid w:val="003F532A"/>
    <w:rsid w:val="003F7308"/>
    <w:rsid w:val="003F7FF4"/>
    <w:rsid w:val="0040084C"/>
    <w:rsid w:val="004009D2"/>
    <w:rsid w:val="00405D54"/>
    <w:rsid w:val="0040794A"/>
    <w:rsid w:val="00413AE9"/>
    <w:rsid w:val="00415730"/>
    <w:rsid w:val="00430678"/>
    <w:rsid w:val="00432861"/>
    <w:rsid w:val="0043705D"/>
    <w:rsid w:val="00441699"/>
    <w:rsid w:val="00442F9D"/>
    <w:rsid w:val="00443B4E"/>
    <w:rsid w:val="00444149"/>
    <w:rsid w:val="00445749"/>
    <w:rsid w:val="004466AC"/>
    <w:rsid w:val="00446718"/>
    <w:rsid w:val="0045070F"/>
    <w:rsid w:val="00451B5C"/>
    <w:rsid w:val="004533EB"/>
    <w:rsid w:val="0045461B"/>
    <w:rsid w:val="00455A62"/>
    <w:rsid w:val="00456F1D"/>
    <w:rsid w:val="00457BBB"/>
    <w:rsid w:val="00463808"/>
    <w:rsid w:val="00464725"/>
    <w:rsid w:val="00466801"/>
    <w:rsid w:val="00466ADB"/>
    <w:rsid w:val="004676EA"/>
    <w:rsid w:val="0047107E"/>
    <w:rsid w:val="0047138C"/>
    <w:rsid w:val="00471739"/>
    <w:rsid w:val="00471811"/>
    <w:rsid w:val="00472AB9"/>
    <w:rsid w:val="00475309"/>
    <w:rsid w:val="00476659"/>
    <w:rsid w:val="004767DA"/>
    <w:rsid w:val="0047686E"/>
    <w:rsid w:val="00477A53"/>
    <w:rsid w:val="00483112"/>
    <w:rsid w:val="004919A8"/>
    <w:rsid w:val="0049480C"/>
    <w:rsid w:val="00496CF0"/>
    <w:rsid w:val="00497821"/>
    <w:rsid w:val="004A0FA1"/>
    <w:rsid w:val="004A47A6"/>
    <w:rsid w:val="004A4954"/>
    <w:rsid w:val="004B07B0"/>
    <w:rsid w:val="004B12B4"/>
    <w:rsid w:val="004C1986"/>
    <w:rsid w:val="004C2B5E"/>
    <w:rsid w:val="004C3865"/>
    <w:rsid w:val="004C76FE"/>
    <w:rsid w:val="004D1BF7"/>
    <w:rsid w:val="004D4884"/>
    <w:rsid w:val="004D77C5"/>
    <w:rsid w:val="004E12A6"/>
    <w:rsid w:val="004E1E81"/>
    <w:rsid w:val="004E6922"/>
    <w:rsid w:val="004F39A4"/>
    <w:rsid w:val="004F3D73"/>
    <w:rsid w:val="005020B3"/>
    <w:rsid w:val="0051132F"/>
    <w:rsid w:val="005143F5"/>
    <w:rsid w:val="00517C44"/>
    <w:rsid w:val="00517CFD"/>
    <w:rsid w:val="00522AA4"/>
    <w:rsid w:val="005245B0"/>
    <w:rsid w:val="00524B29"/>
    <w:rsid w:val="00526827"/>
    <w:rsid w:val="005317CE"/>
    <w:rsid w:val="00534060"/>
    <w:rsid w:val="0053483A"/>
    <w:rsid w:val="00534AC1"/>
    <w:rsid w:val="005354E4"/>
    <w:rsid w:val="005443C4"/>
    <w:rsid w:val="005470FD"/>
    <w:rsid w:val="005510FC"/>
    <w:rsid w:val="00551278"/>
    <w:rsid w:val="00554D0F"/>
    <w:rsid w:val="00556D6C"/>
    <w:rsid w:val="00563183"/>
    <w:rsid w:val="00566D3E"/>
    <w:rsid w:val="00567726"/>
    <w:rsid w:val="00567A7A"/>
    <w:rsid w:val="00572B4A"/>
    <w:rsid w:val="00573835"/>
    <w:rsid w:val="0057427E"/>
    <w:rsid w:val="00574D3F"/>
    <w:rsid w:val="005758C4"/>
    <w:rsid w:val="00576BD5"/>
    <w:rsid w:val="005777FE"/>
    <w:rsid w:val="00580771"/>
    <w:rsid w:val="005810DD"/>
    <w:rsid w:val="0059165B"/>
    <w:rsid w:val="005959E5"/>
    <w:rsid w:val="00597A7D"/>
    <w:rsid w:val="005A0A82"/>
    <w:rsid w:val="005A1E06"/>
    <w:rsid w:val="005A28DE"/>
    <w:rsid w:val="005A446F"/>
    <w:rsid w:val="005A53D8"/>
    <w:rsid w:val="005A66B3"/>
    <w:rsid w:val="005A702D"/>
    <w:rsid w:val="005B0D94"/>
    <w:rsid w:val="005B26A3"/>
    <w:rsid w:val="005B4A32"/>
    <w:rsid w:val="005B5106"/>
    <w:rsid w:val="005B6CFF"/>
    <w:rsid w:val="005C0FDB"/>
    <w:rsid w:val="005D02E1"/>
    <w:rsid w:val="005D2F83"/>
    <w:rsid w:val="005D4DDA"/>
    <w:rsid w:val="005D57A4"/>
    <w:rsid w:val="005E09E3"/>
    <w:rsid w:val="005E2BCA"/>
    <w:rsid w:val="005E642D"/>
    <w:rsid w:val="005E737F"/>
    <w:rsid w:val="005F0C99"/>
    <w:rsid w:val="0060437A"/>
    <w:rsid w:val="00604AC9"/>
    <w:rsid w:val="00611416"/>
    <w:rsid w:val="00612364"/>
    <w:rsid w:val="00614624"/>
    <w:rsid w:val="0061500E"/>
    <w:rsid w:val="006174C2"/>
    <w:rsid w:val="006260E7"/>
    <w:rsid w:val="0062677A"/>
    <w:rsid w:val="00631EC0"/>
    <w:rsid w:val="00632C90"/>
    <w:rsid w:val="0063434B"/>
    <w:rsid w:val="0063681A"/>
    <w:rsid w:val="00637B1E"/>
    <w:rsid w:val="0064777E"/>
    <w:rsid w:val="00656F21"/>
    <w:rsid w:val="0066099A"/>
    <w:rsid w:val="00661245"/>
    <w:rsid w:val="00663D51"/>
    <w:rsid w:val="00666ECA"/>
    <w:rsid w:val="0066775C"/>
    <w:rsid w:val="00667EFF"/>
    <w:rsid w:val="006736AC"/>
    <w:rsid w:val="006756B8"/>
    <w:rsid w:val="0067660C"/>
    <w:rsid w:val="00677CA6"/>
    <w:rsid w:val="006814B8"/>
    <w:rsid w:val="0068432F"/>
    <w:rsid w:val="006846AC"/>
    <w:rsid w:val="00687BB7"/>
    <w:rsid w:val="00690A05"/>
    <w:rsid w:val="006929DF"/>
    <w:rsid w:val="0069353C"/>
    <w:rsid w:val="0069485B"/>
    <w:rsid w:val="006A1920"/>
    <w:rsid w:val="006A1FC9"/>
    <w:rsid w:val="006A7E42"/>
    <w:rsid w:val="006B508D"/>
    <w:rsid w:val="006B5EF7"/>
    <w:rsid w:val="006B62B1"/>
    <w:rsid w:val="006B62BD"/>
    <w:rsid w:val="006C114F"/>
    <w:rsid w:val="006C2A10"/>
    <w:rsid w:val="006C6FDA"/>
    <w:rsid w:val="006C7F00"/>
    <w:rsid w:val="006E68CD"/>
    <w:rsid w:val="006F0B12"/>
    <w:rsid w:val="006F3606"/>
    <w:rsid w:val="006F5952"/>
    <w:rsid w:val="00703054"/>
    <w:rsid w:val="00706055"/>
    <w:rsid w:val="00706368"/>
    <w:rsid w:val="007074FC"/>
    <w:rsid w:val="00707F8D"/>
    <w:rsid w:val="00715A97"/>
    <w:rsid w:val="0072067D"/>
    <w:rsid w:val="00720F1A"/>
    <w:rsid w:val="00724333"/>
    <w:rsid w:val="007356AA"/>
    <w:rsid w:val="007422B4"/>
    <w:rsid w:val="007447DA"/>
    <w:rsid w:val="00746327"/>
    <w:rsid w:val="0075033E"/>
    <w:rsid w:val="0075335E"/>
    <w:rsid w:val="00753F16"/>
    <w:rsid w:val="007608F3"/>
    <w:rsid w:val="00761EB6"/>
    <w:rsid w:val="0076421A"/>
    <w:rsid w:val="00766595"/>
    <w:rsid w:val="00774EF9"/>
    <w:rsid w:val="00775C23"/>
    <w:rsid w:val="00784042"/>
    <w:rsid w:val="007849AC"/>
    <w:rsid w:val="007869EF"/>
    <w:rsid w:val="00791654"/>
    <w:rsid w:val="007931F7"/>
    <w:rsid w:val="00796410"/>
    <w:rsid w:val="007A4FBA"/>
    <w:rsid w:val="007B340E"/>
    <w:rsid w:val="007C147E"/>
    <w:rsid w:val="007C3DCB"/>
    <w:rsid w:val="007C6DF5"/>
    <w:rsid w:val="007C6EAB"/>
    <w:rsid w:val="007D3741"/>
    <w:rsid w:val="007D6C8F"/>
    <w:rsid w:val="007E1071"/>
    <w:rsid w:val="007E392F"/>
    <w:rsid w:val="007E7BC8"/>
    <w:rsid w:val="007F01C1"/>
    <w:rsid w:val="007F0762"/>
    <w:rsid w:val="007F1926"/>
    <w:rsid w:val="007F2E24"/>
    <w:rsid w:val="007F3B3C"/>
    <w:rsid w:val="007F7DFF"/>
    <w:rsid w:val="008020BC"/>
    <w:rsid w:val="00803569"/>
    <w:rsid w:val="0080479B"/>
    <w:rsid w:val="00806743"/>
    <w:rsid w:val="00807F60"/>
    <w:rsid w:val="00810A30"/>
    <w:rsid w:val="00820B6E"/>
    <w:rsid w:val="008225AC"/>
    <w:rsid w:val="00827DE8"/>
    <w:rsid w:val="00831D33"/>
    <w:rsid w:val="00833A71"/>
    <w:rsid w:val="00836E20"/>
    <w:rsid w:val="00836F0E"/>
    <w:rsid w:val="00837933"/>
    <w:rsid w:val="00843F9D"/>
    <w:rsid w:val="008442BC"/>
    <w:rsid w:val="00847682"/>
    <w:rsid w:val="00853BE1"/>
    <w:rsid w:val="00861FCF"/>
    <w:rsid w:val="00862887"/>
    <w:rsid w:val="00862D9B"/>
    <w:rsid w:val="00863B0E"/>
    <w:rsid w:val="00865343"/>
    <w:rsid w:val="008701CA"/>
    <w:rsid w:val="00873DC0"/>
    <w:rsid w:val="0087776D"/>
    <w:rsid w:val="008828C3"/>
    <w:rsid w:val="008A2E3C"/>
    <w:rsid w:val="008A3869"/>
    <w:rsid w:val="008A774D"/>
    <w:rsid w:val="008B1103"/>
    <w:rsid w:val="008B2F1A"/>
    <w:rsid w:val="008B3F25"/>
    <w:rsid w:val="008B56D3"/>
    <w:rsid w:val="008C0316"/>
    <w:rsid w:val="008C0686"/>
    <w:rsid w:val="008C3AAB"/>
    <w:rsid w:val="008C6BB0"/>
    <w:rsid w:val="008C7864"/>
    <w:rsid w:val="008D0D77"/>
    <w:rsid w:val="008D4208"/>
    <w:rsid w:val="008E0816"/>
    <w:rsid w:val="008E33C1"/>
    <w:rsid w:val="008E482E"/>
    <w:rsid w:val="008F14A1"/>
    <w:rsid w:val="008F3AD7"/>
    <w:rsid w:val="008F6566"/>
    <w:rsid w:val="00903C04"/>
    <w:rsid w:val="0090628E"/>
    <w:rsid w:val="009065F3"/>
    <w:rsid w:val="0091671D"/>
    <w:rsid w:val="00916899"/>
    <w:rsid w:val="009171EA"/>
    <w:rsid w:val="00921EFF"/>
    <w:rsid w:val="00922483"/>
    <w:rsid w:val="009239ED"/>
    <w:rsid w:val="00930172"/>
    <w:rsid w:val="009311C4"/>
    <w:rsid w:val="00933E61"/>
    <w:rsid w:val="009365A1"/>
    <w:rsid w:val="00936AD3"/>
    <w:rsid w:val="00937A6A"/>
    <w:rsid w:val="00937C85"/>
    <w:rsid w:val="00940201"/>
    <w:rsid w:val="009434B3"/>
    <w:rsid w:val="00944484"/>
    <w:rsid w:val="00945A9F"/>
    <w:rsid w:val="00946A97"/>
    <w:rsid w:val="00946FDE"/>
    <w:rsid w:val="00952085"/>
    <w:rsid w:val="0095382B"/>
    <w:rsid w:val="00956547"/>
    <w:rsid w:val="009609ED"/>
    <w:rsid w:val="00962295"/>
    <w:rsid w:val="0096373A"/>
    <w:rsid w:val="0096726F"/>
    <w:rsid w:val="00973931"/>
    <w:rsid w:val="00973E5C"/>
    <w:rsid w:val="00974AD0"/>
    <w:rsid w:val="0097606E"/>
    <w:rsid w:val="00981D3E"/>
    <w:rsid w:val="00981DB4"/>
    <w:rsid w:val="00984329"/>
    <w:rsid w:val="0099514F"/>
    <w:rsid w:val="00997669"/>
    <w:rsid w:val="009A1316"/>
    <w:rsid w:val="009A2ECD"/>
    <w:rsid w:val="009A4D91"/>
    <w:rsid w:val="009B01C5"/>
    <w:rsid w:val="009B0EDF"/>
    <w:rsid w:val="009B1E7A"/>
    <w:rsid w:val="009B38D4"/>
    <w:rsid w:val="009B4DD5"/>
    <w:rsid w:val="009C1C33"/>
    <w:rsid w:val="009C4D76"/>
    <w:rsid w:val="009D2E14"/>
    <w:rsid w:val="009D7532"/>
    <w:rsid w:val="009E306D"/>
    <w:rsid w:val="009E4B14"/>
    <w:rsid w:val="009E634F"/>
    <w:rsid w:val="009E64D5"/>
    <w:rsid w:val="009E6547"/>
    <w:rsid w:val="009E68A1"/>
    <w:rsid w:val="009E79EE"/>
    <w:rsid w:val="009E7F36"/>
    <w:rsid w:val="009F3427"/>
    <w:rsid w:val="009F4721"/>
    <w:rsid w:val="009F59CD"/>
    <w:rsid w:val="009F6B01"/>
    <w:rsid w:val="00A009B6"/>
    <w:rsid w:val="00A01A42"/>
    <w:rsid w:val="00A02C8C"/>
    <w:rsid w:val="00A0479E"/>
    <w:rsid w:val="00A04A4C"/>
    <w:rsid w:val="00A05A48"/>
    <w:rsid w:val="00A07EB9"/>
    <w:rsid w:val="00A107E0"/>
    <w:rsid w:val="00A112F9"/>
    <w:rsid w:val="00A1215B"/>
    <w:rsid w:val="00A12FC2"/>
    <w:rsid w:val="00A15BF9"/>
    <w:rsid w:val="00A162DE"/>
    <w:rsid w:val="00A2147F"/>
    <w:rsid w:val="00A217B7"/>
    <w:rsid w:val="00A227BF"/>
    <w:rsid w:val="00A22A68"/>
    <w:rsid w:val="00A22C7B"/>
    <w:rsid w:val="00A24753"/>
    <w:rsid w:val="00A26383"/>
    <w:rsid w:val="00A2697F"/>
    <w:rsid w:val="00A26FED"/>
    <w:rsid w:val="00A271CA"/>
    <w:rsid w:val="00A30166"/>
    <w:rsid w:val="00A453E2"/>
    <w:rsid w:val="00A47D97"/>
    <w:rsid w:val="00A534CC"/>
    <w:rsid w:val="00A5359A"/>
    <w:rsid w:val="00A54851"/>
    <w:rsid w:val="00A6148E"/>
    <w:rsid w:val="00A638AD"/>
    <w:rsid w:val="00A67EF6"/>
    <w:rsid w:val="00A70A41"/>
    <w:rsid w:val="00A71AB5"/>
    <w:rsid w:val="00A72812"/>
    <w:rsid w:val="00A74FDD"/>
    <w:rsid w:val="00A77C8A"/>
    <w:rsid w:val="00A809D4"/>
    <w:rsid w:val="00A81D8F"/>
    <w:rsid w:val="00A85BB0"/>
    <w:rsid w:val="00A86926"/>
    <w:rsid w:val="00A8715E"/>
    <w:rsid w:val="00A94D51"/>
    <w:rsid w:val="00A955BE"/>
    <w:rsid w:val="00A95CC6"/>
    <w:rsid w:val="00AA2E3D"/>
    <w:rsid w:val="00AA5A25"/>
    <w:rsid w:val="00AA76B8"/>
    <w:rsid w:val="00AB3B81"/>
    <w:rsid w:val="00AB4F19"/>
    <w:rsid w:val="00AC21EC"/>
    <w:rsid w:val="00AD40DD"/>
    <w:rsid w:val="00AD5F15"/>
    <w:rsid w:val="00AD65AA"/>
    <w:rsid w:val="00AE2811"/>
    <w:rsid w:val="00AE29D8"/>
    <w:rsid w:val="00AE4C36"/>
    <w:rsid w:val="00AE6143"/>
    <w:rsid w:val="00AE6F2A"/>
    <w:rsid w:val="00AF4E24"/>
    <w:rsid w:val="00AF5212"/>
    <w:rsid w:val="00AF62B5"/>
    <w:rsid w:val="00AF7080"/>
    <w:rsid w:val="00AF749E"/>
    <w:rsid w:val="00B00670"/>
    <w:rsid w:val="00B0093E"/>
    <w:rsid w:val="00B012BD"/>
    <w:rsid w:val="00B04011"/>
    <w:rsid w:val="00B04E41"/>
    <w:rsid w:val="00B05873"/>
    <w:rsid w:val="00B10F92"/>
    <w:rsid w:val="00B12A07"/>
    <w:rsid w:val="00B130D2"/>
    <w:rsid w:val="00B1423B"/>
    <w:rsid w:val="00B151EC"/>
    <w:rsid w:val="00B15F67"/>
    <w:rsid w:val="00B16898"/>
    <w:rsid w:val="00B17C7A"/>
    <w:rsid w:val="00B2188D"/>
    <w:rsid w:val="00B23117"/>
    <w:rsid w:val="00B2478C"/>
    <w:rsid w:val="00B2638E"/>
    <w:rsid w:val="00B2645C"/>
    <w:rsid w:val="00B26554"/>
    <w:rsid w:val="00B33360"/>
    <w:rsid w:val="00B34A20"/>
    <w:rsid w:val="00B4073F"/>
    <w:rsid w:val="00B41A96"/>
    <w:rsid w:val="00B42E37"/>
    <w:rsid w:val="00B44B40"/>
    <w:rsid w:val="00B50DEA"/>
    <w:rsid w:val="00B510EC"/>
    <w:rsid w:val="00B53FEB"/>
    <w:rsid w:val="00B72F8C"/>
    <w:rsid w:val="00B75555"/>
    <w:rsid w:val="00B756BA"/>
    <w:rsid w:val="00B76089"/>
    <w:rsid w:val="00B8179F"/>
    <w:rsid w:val="00B81DF8"/>
    <w:rsid w:val="00B82D04"/>
    <w:rsid w:val="00B85880"/>
    <w:rsid w:val="00B8749F"/>
    <w:rsid w:val="00B9173B"/>
    <w:rsid w:val="00B95AB2"/>
    <w:rsid w:val="00B95B74"/>
    <w:rsid w:val="00B95E25"/>
    <w:rsid w:val="00B96C45"/>
    <w:rsid w:val="00B97DFB"/>
    <w:rsid w:val="00BA0CE6"/>
    <w:rsid w:val="00BA332C"/>
    <w:rsid w:val="00BA6E78"/>
    <w:rsid w:val="00BB0AA5"/>
    <w:rsid w:val="00BB347A"/>
    <w:rsid w:val="00BB6E1E"/>
    <w:rsid w:val="00BC7486"/>
    <w:rsid w:val="00BC761D"/>
    <w:rsid w:val="00BC7D43"/>
    <w:rsid w:val="00BD5C80"/>
    <w:rsid w:val="00BD7E53"/>
    <w:rsid w:val="00BE35F8"/>
    <w:rsid w:val="00BE6104"/>
    <w:rsid w:val="00BE75B4"/>
    <w:rsid w:val="00BF2F08"/>
    <w:rsid w:val="00BF48D5"/>
    <w:rsid w:val="00C0149E"/>
    <w:rsid w:val="00C0195F"/>
    <w:rsid w:val="00C05B62"/>
    <w:rsid w:val="00C12ED1"/>
    <w:rsid w:val="00C15AD1"/>
    <w:rsid w:val="00C162CA"/>
    <w:rsid w:val="00C17D75"/>
    <w:rsid w:val="00C21A4D"/>
    <w:rsid w:val="00C22057"/>
    <w:rsid w:val="00C23902"/>
    <w:rsid w:val="00C23DFF"/>
    <w:rsid w:val="00C24EE7"/>
    <w:rsid w:val="00C279FC"/>
    <w:rsid w:val="00C31F47"/>
    <w:rsid w:val="00C33266"/>
    <w:rsid w:val="00C33519"/>
    <w:rsid w:val="00C367C7"/>
    <w:rsid w:val="00C37FCF"/>
    <w:rsid w:val="00C40B31"/>
    <w:rsid w:val="00C4165C"/>
    <w:rsid w:val="00C42968"/>
    <w:rsid w:val="00C42BA2"/>
    <w:rsid w:val="00C43961"/>
    <w:rsid w:val="00C4675E"/>
    <w:rsid w:val="00C630F3"/>
    <w:rsid w:val="00C6510E"/>
    <w:rsid w:val="00C662D8"/>
    <w:rsid w:val="00C719AB"/>
    <w:rsid w:val="00C72442"/>
    <w:rsid w:val="00C73623"/>
    <w:rsid w:val="00C747DF"/>
    <w:rsid w:val="00C760C7"/>
    <w:rsid w:val="00C76B2B"/>
    <w:rsid w:val="00C8048C"/>
    <w:rsid w:val="00C86DF1"/>
    <w:rsid w:val="00C87596"/>
    <w:rsid w:val="00C90417"/>
    <w:rsid w:val="00C92071"/>
    <w:rsid w:val="00C9533A"/>
    <w:rsid w:val="00C956F5"/>
    <w:rsid w:val="00C95D28"/>
    <w:rsid w:val="00C9739B"/>
    <w:rsid w:val="00CA0790"/>
    <w:rsid w:val="00CA2ED9"/>
    <w:rsid w:val="00CA3E5B"/>
    <w:rsid w:val="00CA4319"/>
    <w:rsid w:val="00CA6F16"/>
    <w:rsid w:val="00CA7C5F"/>
    <w:rsid w:val="00CB4482"/>
    <w:rsid w:val="00CB56D3"/>
    <w:rsid w:val="00CB5DBF"/>
    <w:rsid w:val="00CB6570"/>
    <w:rsid w:val="00CC1A03"/>
    <w:rsid w:val="00CC2664"/>
    <w:rsid w:val="00CC5746"/>
    <w:rsid w:val="00CC7CE6"/>
    <w:rsid w:val="00CD7178"/>
    <w:rsid w:val="00CE06A2"/>
    <w:rsid w:val="00CF0A33"/>
    <w:rsid w:val="00CF3AAD"/>
    <w:rsid w:val="00CF43A4"/>
    <w:rsid w:val="00CF75EA"/>
    <w:rsid w:val="00D0297F"/>
    <w:rsid w:val="00D057A4"/>
    <w:rsid w:val="00D073D0"/>
    <w:rsid w:val="00D11E78"/>
    <w:rsid w:val="00D1202E"/>
    <w:rsid w:val="00D13741"/>
    <w:rsid w:val="00D14139"/>
    <w:rsid w:val="00D15DD3"/>
    <w:rsid w:val="00D31C0F"/>
    <w:rsid w:val="00D40DD0"/>
    <w:rsid w:val="00D441A3"/>
    <w:rsid w:val="00D44FE2"/>
    <w:rsid w:val="00D45EE2"/>
    <w:rsid w:val="00D46FA0"/>
    <w:rsid w:val="00D47A7F"/>
    <w:rsid w:val="00D50F85"/>
    <w:rsid w:val="00D53635"/>
    <w:rsid w:val="00D570E0"/>
    <w:rsid w:val="00D60C40"/>
    <w:rsid w:val="00D61F0A"/>
    <w:rsid w:val="00D67720"/>
    <w:rsid w:val="00D706B7"/>
    <w:rsid w:val="00D72D79"/>
    <w:rsid w:val="00D73F20"/>
    <w:rsid w:val="00D744D1"/>
    <w:rsid w:val="00D751B3"/>
    <w:rsid w:val="00D752F0"/>
    <w:rsid w:val="00D81C7B"/>
    <w:rsid w:val="00D83CB3"/>
    <w:rsid w:val="00D903D0"/>
    <w:rsid w:val="00D9113D"/>
    <w:rsid w:val="00D92C26"/>
    <w:rsid w:val="00D931E6"/>
    <w:rsid w:val="00D959D5"/>
    <w:rsid w:val="00D97A78"/>
    <w:rsid w:val="00DA1A74"/>
    <w:rsid w:val="00DA3010"/>
    <w:rsid w:val="00DA4BAD"/>
    <w:rsid w:val="00DB0E8E"/>
    <w:rsid w:val="00DB1F40"/>
    <w:rsid w:val="00DB5CE3"/>
    <w:rsid w:val="00DB7CDA"/>
    <w:rsid w:val="00DC4574"/>
    <w:rsid w:val="00DC4B9D"/>
    <w:rsid w:val="00DD1AB5"/>
    <w:rsid w:val="00DD2E56"/>
    <w:rsid w:val="00DD3B5F"/>
    <w:rsid w:val="00DE0D2E"/>
    <w:rsid w:val="00DE4B32"/>
    <w:rsid w:val="00DE5103"/>
    <w:rsid w:val="00DF1A42"/>
    <w:rsid w:val="00DF28BD"/>
    <w:rsid w:val="00DF2DC7"/>
    <w:rsid w:val="00DF6D4D"/>
    <w:rsid w:val="00DF76D0"/>
    <w:rsid w:val="00E01617"/>
    <w:rsid w:val="00E03F92"/>
    <w:rsid w:val="00E04CD7"/>
    <w:rsid w:val="00E0625F"/>
    <w:rsid w:val="00E1351F"/>
    <w:rsid w:val="00E15C08"/>
    <w:rsid w:val="00E16F23"/>
    <w:rsid w:val="00E173BB"/>
    <w:rsid w:val="00E17C34"/>
    <w:rsid w:val="00E21758"/>
    <w:rsid w:val="00E23876"/>
    <w:rsid w:val="00E23955"/>
    <w:rsid w:val="00E26FE0"/>
    <w:rsid w:val="00E31209"/>
    <w:rsid w:val="00E31C1B"/>
    <w:rsid w:val="00E327C0"/>
    <w:rsid w:val="00E32F44"/>
    <w:rsid w:val="00E34150"/>
    <w:rsid w:val="00E36BFF"/>
    <w:rsid w:val="00E37930"/>
    <w:rsid w:val="00E540A8"/>
    <w:rsid w:val="00E6448E"/>
    <w:rsid w:val="00E64C7A"/>
    <w:rsid w:val="00E676E5"/>
    <w:rsid w:val="00E7074F"/>
    <w:rsid w:val="00E71D39"/>
    <w:rsid w:val="00E73429"/>
    <w:rsid w:val="00E75A1F"/>
    <w:rsid w:val="00E760F3"/>
    <w:rsid w:val="00E761B7"/>
    <w:rsid w:val="00E82EBF"/>
    <w:rsid w:val="00E837A4"/>
    <w:rsid w:val="00E841FA"/>
    <w:rsid w:val="00E85274"/>
    <w:rsid w:val="00E87F4C"/>
    <w:rsid w:val="00E94F10"/>
    <w:rsid w:val="00EA126E"/>
    <w:rsid w:val="00EA2A37"/>
    <w:rsid w:val="00EA2A66"/>
    <w:rsid w:val="00EA33DB"/>
    <w:rsid w:val="00EA56B4"/>
    <w:rsid w:val="00EA5DAC"/>
    <w:rsid w:val="00EB45A8"/>
    <w:rsid w:val="00EB4AFC"/>
    <w:rsid w:val="00EC304A"/>
    <w:rsid w:val="00EC7BC5"/>
    <w:rsid w:val="00ED0F07"/>
    <w:rsid w:val="00ED256F"/>
    <w:rsid w:val="00ED4555"/>
    <w:rsid w:val="00EE1596"/>
    <w:rsid w:val="00EE2B36"/>
    <w:rsid w:val="00EE7363"/>
    <w:rsid w:val="00EF123C"/>
    <w:rsid w:val="00EF3218"/>
    <w:rsid w:val="00EF323F"/>
    <w:rsid w:val="00EF4D62"/>
    <w:rsid w:val="00EF507D"/>
    <w:rsid w:val="00F02B1C"/>
    <w:rsid w:val="00F06D86"/>
    <w:rsid w:val="00F073A6"/>
    <w:rsid w:val="00F07E40"/>
    <w:rsid w:val="00F1070A"/>
    <w:rsid w:val="00F13DA3"/>
    <w:rsid w:val="00F22A17"/>
    <w:rsid w:val="00F22B98"/>
    <w:rsid w:val="00F2732E"/>
    <w:rsid w:val="00F3098D"/>
    <w:rsid w:val="00F33193"/>
    <w:rsid w:val="00F33CF9"/>
    <w:rsid w:val="00F357D9"/>
    <w:rsid w:val="00F376D2"/>
    <w:rsid w:val="00F41036"/>
    <w:rsid w:val="00F414AB"/>
    <w:rsid w:val="00F41606"/>
    <w:rsid w:val="00F45F64"/>
    <w:rsid w:val="00F53BF9"/>
    <w:rsid w:val="00F54257"/>
    <w:rsid w:val="00F547C2"/>
    <w:rsid w:val="00F55596"/>
    <w:rsid w:val="00F5688B"/>
    <w:rsid w:val="00F5760E"/>
    <w:rsid w:val="00F579C8"/>
    <w:rsid w:val="00F65CF8"/>
    <w:rsid w:val="00F661FA"/>
    <w:rsid w:val="00F7090B"/>
    <w:rsid w:val="00F7373C"/>
    <w:rsid w:val="00F74382"/>
    <w:rsid w:val="00F75F6C"/>
    <w:rsid w:val="00F761C2"/>
    <w:rsid w:val="00F76ABD"/>
    <w:rsid w:val="00F77FAB"/>
    <w:rsid w:val="00F8127E"/>
    <w:rsid w:val="00F81FE8"/>
    <w:rsid w:val="00F8664C"/>
    <w:rsid w:val="00F867F3"/>
    <w:rsid w:val="00F87856"/>
    <w:rsid w:val="00F905D4"/>
    <w:rsid w:val="00F91EFD"/>
    <w:rsid w:val="00F9287A"/>
    <w:rsid w:val="00F9399E"/>
    <w:rsid w:val="00F952DC"/>
    <w:rsid w:val="00F95DE9"/>
    <w:rsid w:val="00FA09D4"/>
    <w:rsid w:val="00FA2EDA"/>
    <w:rsid w:val="00FA5F34"/>
    <w:rsid w:val="00FA7BEC"/>
    <w:rsid w:val="00FB6896"/>
    <w:rsid w:val="00FC2018"/>
    <w:rsid w:val="00FC56BC"/>
    <w:rsid w:val="00FD2039"/>
    <w:rsid w:val="00FD3D0B"/>
    <w:rsid w:val="00FD50D4"/>
    <w:rsid w:val="00FD53CC"/>
    <w:rsid w:val="00FD5E08"/>
    <w:rsid w:val="00FE26F2"/>
    <w:rsid w:val="00FE2B9E"/>
    <w:rsid w:val="00FE47C5"/>
    <w:rsid w:val="00FE550F"/>
    <w:rsid w:val="00FE58B5"/>
    <w:rsid w:val="00FE662A"/>
    <w:rsid w:val="00FF0A91"/>
    <w:rsid w:val="00FF0D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F31CB4"/>
  <w15:chartTrackingRefBased/>
  <w15:docId w15:val="{C3FBE2E1-082A-4250-8AAB-72B65FB1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CF3AAD"/>
    <w:pPr>
      <w:keepNext/>
      <w:keepLines/>
      <w:spacing w:before="480" w:after="0" w:line="240" w:lineRule="auto"/>
      <w:ind w:left="1992" w:hanging="432"/>
      <w:outlineLvl w:val="0"/>
    </w:pPr>
    <w:rPr>
      <w:rFonts w:ascii="Arial" w:eastAsia="Times New Roman" w:hAnsi="Arial" w:cs="Arial"/>
      <w:b/>
      <w:bCs/>
      <w:color w:val="345A8A"/>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EI,EC,Paragraphe de liste2,Colorful List Accent 1,Paragraphe de liste11,Liste couleur - Accent 11,Liste couleur - Accent 111,Policy_Paragraph,List Paragraph1,Issue Action POC,3,Dot pt,List Paragraph,Paragraphe de liste1"/>
    <w:basedOn w:val="Normal"/>
    <w:link w:val="ParagraphedelisteCar"/>
    <w:uiPriority w:val="34"/>
    <w:qFormat/>
    <w:rsid w:val="007F2E24"/>
    <w:pPr>
      <w:ind w:left="720"/>
      <w:contextualSpacing/>
    </w:pPr>
  </w:style>
  <w:style w:type="character" w:styleId="Marquedecommentaire">
    <w:name w:val="annotation reference"/>
    <w:basedOn w:val="Policepardfaut"/>
    <w:uiPriority w:val="99"/>
    <w:semiHidden/>
    <w:unhideWhenUsed/>
    <w:rsid w:val="00C760C7"/>
    <w:rPr>
      <w:sz w:val="16"/>
      <w:szCs w:val="16"/>
    </w:rPr>
  </w:style>
  <w:style w:type="paragraph" w:styleId="Commentaire">
    <w:name w:val="annotation text"/>
    <w:basedOn w:val="Normal"/>
    <w:link w:val="CommentaireCar"/>
    <w:uiPriority w:val="99"/>
    <w:unhideWhenUsed/>
    <w:rsid w:val="00C760C7"/>
    <w:pPr>
      <w:spacing w:line="240" w:lineRule="auto"/>
    </w:pPr>
    <w:rPr>
      <w:sz w:val="20"/>
      <w:szCs w:val="20"/>
    </w:rPr>
  </w:style>
  <w:style w:type="character" w:customStyle="1" w:styleId="CommentaireCar">
    <w:name w:val="Commentaire Car"/>
    <w:basedOn w:val="Policepardfaut"/>
    <w:link w:val="Commentaire"/>
    <w:uiPriority w:val="99"/>
    <w:rsid w:val="00C760C7"/>
    <w:rPr>
      <w:sz w:val="20"/>
      <w:szCs w:val="20"/>
    </w:rPr>
  </w:style>
  <w:style w:type="paragraph" w:styleId="Objetducommentaire">
    <w:name w:val="annotation subject"/>
    <w:basedOn w:val="Commentaire"/>
    <w:next w:val="Commentaire"/>
    <w:link w:val="ObjetducommentaireCar"/>
    <w:uiPriority w:val="99"/>
    <w:semiHidden/>
    <w:unhideWhenUsed/>
    <w:rsid w:val="00C760C7"/>
    <w:rPr>
      <w:b/>
      <w:bCs/>
    </w:rPr>
  </w:style>
  <w:style w:type="character" w:customStyle="1" w:styleId="ObjetducommentaireCar">
    <w:name w:val="Objet du commentaire Car"/>
    <w:basedOn w:val="CommentaireCar"/>
    <w:link w:val="Objetducommentaire"/>
    <w:uiPriority w:val="99"/>
    <w:semiHidden/>
    <w:rsid w:val="00C760C7"/>
    <w:rPr>
      <w:b/>
      <w:bCs/>
      <w:sz w:val="20"/>
      <w:szCs w:val="20"/>
    </w:rPr>
  </w:style>
  <w:style w:type="paragraph" w:styleId="Textedebulles">
    <w:name w:val="Balloon Text"/>
    <w:basedOn w:val="Normal"/>
    <w:link w:val="TextedebullesCar"/>
    <w:uiPriority w:val="99"/>
    <w:semiHidden/>
    <w:unhideWhenUsed/>
    <w:rsid w:val="00C760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60C7"/>
    <w:rPr>
      <w:rFonts w:ascii="Segoe UI" w:hAnsi="Segoe UI" w:cs="Segoe UI"/>
      <w:sz w:val="18"/>
      <w:szCs w:val="18"/>
    </w:rPr>
  </w:style>
  <w:style w:type="character" w:customStyle="1" w:styleId="Titre1Car">
    <w:name w:val="Titre 1 Car"/>
    <w:basedOn w:val="Policepardfaut"/>
    <w:link w:val="Titre1"/>
    <w:rsid w:val="00CF3AAD"/>
    <w:rPr>
      <w:rFonts w:ascii="Arial" w:eastAsia="Times New Roman" w:hAnsi="Arial" w:cs="Arial"/>
      <w:b/>
      <w:bCs/>
      <w:color w:val="345A8A"/>
      <w:sz w:val="32"/>
      <w:szCs w:val="32"/>
    </w:rPr>
  </w:style>
  <w:style w:type="table" w:styleId="Grilledutableau">
    <w:name w:val="Table Grid"/>
    <w:basedOn w:val="TableauNormal"/>
    <w:uiPriority w:val="39"/>
    <w:rsid w:val="008B2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E5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44484"/>
    <w:pPr>
      <w:tabs>
        <w:tab w:val="center" w:pos="4536"/>
        <w:tab w:val="right" w:pos="9072"/>
      </w:tabs>
      <w:spacing w:after="0" w:line="240" w:lineRule="auto"/>
    </w:pPr>
  </w:style>
  <w:style w:type="character" w:customStyle="1" w:styleId="En-tteCar">
    <w:name w:val="En-tête Car"/>
    <w:basedOn w:val="Policepardfaut"/>
    <w:link w:val="En-tte"/>
    <w:uiPriority w:val="99"/>
    <w:rsid w:val="00944484"/>
  </w:style>
  <w:style w:type="paragraph" w:styleId="Pieddepage">
    <w:name w:val="footer"/>
    <w:basedOn w:val="Normal"/>
    <w:link w:val="PieddepageCar"/>
    <w:uiPriority w:val="99"/>
    <w:unhideWhenUsed/>
    <w:rsid w:val="009444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4484"/>
  </w:style>
  <w:style w:type="character" w:customStyle="1" w:styleId="ParagraphedelisteCar">
    <w:name w:val="Paragraphe de liste Car"/>
    <w:aliases w:val="Paragraphe EI Car,EC Car,Paragraphe de liste2 Car,Colorful List Accent 1 Car,Paragraphe de liste11 Car,Liste couleur - Accent 11 Car,Liste couleur - Accent 111 Car,Policy_Paragraph Car,List Paragraph1 Car,Issue Action POC Car"/>
    <w:link w:val="Paragraphedeliste"/>
    <w:uiPriority w:val="34"/>
    <w:qFormat/>
    <w:rsid w:val="00567726"/>
  </w:style>
  <w:style w:type="paragraph" w:styleId="Notedebasdepage">
    <w:name w:val="footnote text"/>
    <w:basedOn w:val="Normal"/>
    <w:link w:val="NotedebasdepageCar"/>
    <w:uiPriority w:val="99"/>
    <w:semiHidden/>
    <w:unhideWhenUsed/>
    <w:rsid w:val="00B9173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9173B"/>
    <w:rPr>
      <w:sz w:val="20"/>
      <w:szCs w:val="20"/>
    </w:rPr>
  </w:style>
  <w:style w:type="character" w:styleId="Appelnotedebasdep">
    <w:name w:val="footnote reference"/>
    <w:basedOn w:val="Policepardfaut"/>
    <w:uiPriority w:val="99"/>
    <w:semiHidden/>
    <w:unhideWhenUsed/>
    <w:rsid w:val="00B9173B"/>
    <w:rPr>
      <w:vertAlign w:val="superscript"/>
    </w:rPr>
  </w:style>
  <w:style w:type="paragraph" w:styleId="Rvision">
    <w:name w:val="Revision"/>
    <w:hidden/>
    <w:uiPriority w:val="99"/>
    <w:semiHidden/>
    <w:rsid w:val="00F7090B"/>
    <w:pPr>
      <w:spacing w:after="0" w:line="240" w:lineRule="auto"/>
    </w:pPr>
  </w:style>
  <w:style w:type="paragraph" w:customStyle="1" w:styleId="pf0">
    <w:name w:val="pf0"/>
    <w:basedOn w:val="Normal"/>
    <w:rsid w:val="006F5952"/>
    <w:pPr>
      <w:spacing w:before="100" w:beforeAutospacing="1" w:after="100" w:afterAutospacing="1" w:line="240" w:lineRule="auto"/>
      <w:ind w:left="360"/>
      <w:jc w:val="both"/>
    </w:pPr>
    <w:rPr>
      <w:rFonts w:ascii="Times New Roman" w:eastAsia="Times New Roman" w:hAnsi="Times New Roman" w:cs="Times New Roman"/>
      <w:sz w:val="24"/>
      <w:szCs w:val="24"/>
      <w:lang w:eastAsia="fr-FR"/>
    </w:rPr>
  </w:style>
  <w:style w:type="character" w:customStyle="1" w:styleId="cf01">
    <w:name w:val="cf01"/>
    <w:basedOn w:val="Policepardfaut"/>
    <w:rsid w:val="006F5952"/>
    <w:rPr>
      <w:rFonts w:ascii="Segoe UI" w:hAnsi="Segoe UI" w:cs="Segoe UI" w:hint="default"/>
      <w:b/>
      <w:bCs/>
      <w:sz w:val="18"/>
      <w:szCs w:val="18"/>
    </w:rPr>
  </w:style>
  <w:style w:type="character" w:styleId="Lienhypertexte">
    <w:name w:val="Hyperlink"/>
    <w:basedOn w:val="Policepardfaut"/>
    <w:uiPriority w:val="99"/>
    <w:semiHidden/>
    <w:unhideWhenUsed/>
    <w:rsid w:val="003F73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30655">
      <w:bodyDiv w:val="1"/>
      <w:marLeft w:val="0"/>
      <w:marRight w:val="0"/>
      <w:marTop w:val="0"/>
      <w:marBottom w:val="0"/>
      <w:divBdr>
        <w:top w:val="none" w:sz="0" w:space="0" w:color="auto"/>
        <w:left w:val="none" w:sz="0" w:space="0" w:color="auto"/>
        <w:bottom w:val="none" w:sz="0" w:space="0" w:color="auto"/>
        <w:right w:val="none" w:sz="0" w:space="0" w:color="auto"/>
      </w:divBdr>
      <w:divsChild>
        <w:div w:id="1058288915">
          <w:marLeft w:val="446"/>
          <w:marRight w:val="0"/>
          <w:marTop w:val="0"/>
          <w:marBottom w:val="0"/>
          <w:divBdr>
            <w:top w:val="none" w:sz="0" w:space="0" w:color="auto"/>
            <w:left w:val="none" w:sz="0" w:space="0" w:color="auto"/>
            <w:bottom w:val="none" w:sz="0" w:space="0" w:color="auto"/>
            <w:right w:val="none" w:sz="0" w:space="0" w:color="auto"/>
          </w:divBdr>
        </w:div>
        <w:div w:id="995381648">
          <w:marLeft w:val="1267"/>
          <w:marRight w:val="0"/>
          <w:marTop w:val="0"/>
          <w:marBottom w:val="0"/>
          <w:divBdr>
            <w:top w:val="none" w:sz="0" w:space="0" w:color="auto"/>
            <w:left w:val="none" w:sz="0" w:space="0" w:color="auto"/>
            <w:bottom w:val="none" w:sz="0" w:space="0" w:color="auto"/>
            <w:right w:val="none" w:sz="0" w:space="0" w:color="auto"/>
          </w:divBdr>
        </w:div>
        <w:div w:id="169376937">
          <w:marLeft w:val="446"/>
          <w:marRight w:val="0"/>
          <w:marTop w:val="0"/>
          <w:marBottom w:val="0"/>
          <w:divBdr>
            <w:top w:val="none" w:sz="0" w:space="0" w:color="auto"/>
            <w:left w:val="none" w:sz="0" w:space="0" w:color="auto"/>
            <w:bottom w:val="none" w:sz="0" w:space="0" w:color="auto"/>
            <w:right w:val="none" w:sz="0" w:space="0" w:color="auto"/>
          </w:divBdr>
        </w:div>
      </w:divsChild>
    </w:div>
    <w:div w:id="231086021">
      <w:bodyDiv w:val="1"/>
      <w:marLeft w:val="0"/>
      <w:marRight w:val="0"/>
      <w:marTop w:val="0"/>
      <w:marBottom w:val="0"/>
      <w:divBdr>
        <w:top w:val="none" w:sz="0" w:space="0" w:color="auto"/>
        <w:left w:val="none" w:sz="0" w:space="0" w:color="auto"/>
        <w:bottom w:val="none" w:sz="0" w:space="0" w:color="auto"/>
        <w:right w:val="none" w:sz="0" w:space="0" w:color="auto"/>
      </w:divBdr>
    </w:div>
    <w:div w:id="276908330">
      <w:bodyDiv w:val="1"/>
      <w:marLeft w:val="0"/>
      <w:marRight w:val="0"/>
      <w:marTop w:val="0"/>
      <w:marBottom w:val="0"/>
      <w:divBdr>
        <w:top w:val="none" w:sz="0" w:space="0" w:color="auto"/>
        <w:left w:val="none" w:sz="0" w:space="0" w:color="auto"/>
        <w:bottom w:val="none" w:sz="0" w:space="0" w:color="auto"/>
        <w:right w:val="none" w:sz="0" w:space="0" w:color="auto"/>
      </w:divBdr>
      <w:divsChild>
        <w:div w:id="2113890976">
          <w:marLeft w:val="547"/>
          <w:marRight w:val="0"/>
          <w:marTop w:val="216"/>
          <w:marBottom w:val="0"/>
          <w:divBdr>
            <w:top w:val="none" w:sz="0" w:space="0" w:color="auto"/>
            <w:left w:val="none" w:sz="0" w:space="0" w:color="auto"/>
            <w:bottom w:val="none" w:sz="0" w:space="0" w:color="auto"/>
            <w:right w:val="none" w:sz="0" w:space="0" w:color="auto"/>
          </w:divBdr>
        </w:div>
        <w:div w:id="1686979446">
          <w:marLeft w:val="547"/>
          <w:marRight w:val="0"/>
          <w:marTop w:val="216"/>
          <w:marBottom w:val="0"/>
          <w:divBdr>
            <w:top w:val="none" w:sz="0" w:space="0" w:color="auto"/>
            <w:left w:val="none" w:sz="0" w:space="0" w:color="auto"/>
            <w:bottom w:val="none" w:sz="0" w:space="0" w:color="auto"/>
            <w:right w:val="none" w:sz="0" w:space="0" w:color="auto"/>
          </w:divBdr>
        </w:div>
        <w:div w:id="994409039">
          <w:marLeft w:val="547"/>
          <w:marRight w:val="0"/>
          <w:marTop w:val="216"/>
          <w:marBottom w:val="0"/>
          <w:divBdr>
            <w:top w:val="none" w:sz="0" w:space="0" w:color="auto"/>
            <w:left w:val="none" w:sz="0" w:space="0" w:color="auto"/>
            <w:bottom w:val="none" w:sz="0" w:space="0" w:color="auto"/>
            <w:right w:val="none" w:sz="0" w:space="0" w:color="auto"/>
          </w:divBdr>
        </w:div>
        <w:div w:id="703284262">
          <w:marLeft w:val="547"/>
          <w:marRight w:val="0"/>
          <w:marTop w:val="216"/>
          <w:marBottom w:val="0"/>
          <w:divBdr>
            <w:top w:val="none" w:sz="0" w:space="0" w:color="auto"/>
            <w:left w:val="none" w:sz="0" w:space="0" w:color="auto"/>
            <w:bottom w:val="none" w:sz="0" w:space="0" w:color="auto"/>
            <w:right w:val="none" w:sz="0" w:space="0" w:color="auto"/>
          </w:divBdr>
        </w:div>
      </w:divsChild>
    </w:div>
    <w:div w:id="289673000">
      <w:bodyDiv w:val="1"/>
      <w:marLeft w:val="0"/>
      <w:marRight w:val="0"/>
      <w:marTop w:val="0"/>
      <w:marBottom w:val="0"/>
      <w:divBdr>
        <w:top w:val="none" w:sz="0" w:space="0" w:color="auto"/>
        <w:left w:val="none" w:sz="0" w:space="0" w:color="auto"/>
        <w:bottom w:val="none" w:sz="0" w:space="0" w:color="auto"/>
        <w:right w:val="none" w:sz="0" w:space="0" w:color="auto"/>
      </w:divBdr>
    </w:div>
    <w:div w:id="493306173">
      <w:bodyDiv w:val="1"/>
      <w:marLeft w:val="0"/>
      <w:marRight w:val="0"/>
      <w:marTop w:val="0"/>
      <w:marBottom w:val="0"/>
      <w:divBdr>
        <w:top w:val="none" w:sz="0" w:space="0" w:color="auto"/>
        <w:left w:val="none" w:sz="0" w:space="0" w:color="auto"/>
        <w:bottom w:val="none" w:sz="0" w:space="0" w:color="auto"/>
        <w:right w:val="none" w:sz="0" w:space="0" w:color="auto"/>
      </w:divBdr>
      <w:divsChild>
        <w:div w:id="524753172">
          <w:marLeft w:val="446"/>
          <w:marRight w:val="0"/>
          <w:marTop w:val="0"/>
          <w:marBottom w:val="0"/>
          <w:divBdr>
            <w:top w:val="none" w:sz="0" w:space="0" w:color="auto"/>
            <w:left w:val="none" w:sz="0" w:space="0" w:color="auto"/>
            <w:bottom w:val="none" w:sz="0" w:space="0" w:color="auto"/>
            <w:right w:val="none" w:sz="0" w:space="0" w:color="auto"/>
          </w:divBdr>
        </w:div>
        <w:div w:id="1397239581">
          <w:marLeft w:val="1267"/>
          <w:marRight w:val="0"/>
          <w:marTop w:val="0"/>
          <w:marBottom w:val="0"/>
          <w:divBdr>
            <w:top w:val="none" w:sz="0" w:space="0" w:color="auto"/>
            <w:left w:val="none" w:sz="0" w:space="0" w:color="auto"/>
            <w:bottom w:val="none" w:sz="0" w:space="0" w:color="auto"/>
            <w:right w:val="none" w:sz="0" w:space="0" w:color="auto"/>
          </w:divBdr>
        </w:div>
        <w:div w:id="249043537">
          <w:marLeft w:val="446"/>
          <w:marRight w:val="0"/>
          <w:marTop w:val="0"/>
          <w:marBottom w:val="0"/>
          <w:divBdr>
            <w:top w:val="none" w:sz="0" w:space="0" w:color="auto"/>
            <w:left w:val="none" w:sz="0" w:space="0" w:color="auto"/>
            <w:bottom w:val="none" w:sz="0" w:space="0" w:color="auto"/>
            <w:right w:val="none" w:sz="0" w:space="0" w:color="auto"/>
          </w:divBdr>
        </w:div>
        <w:div w:id="1463157823">
          <w:marLeft w:val="1267"/>
          <w:marRight w:val="0"/>
          <w:marTop w:val="0"/>
          <w:marBottom w:val="0"/>
          <w:divBdr>
            <w:top w:val="none" w:sz="0" w:space="0" w:color="auto"/>
            <w:left w:val="none" w:sz="0" w:space="0" w:color="auto"/>
            <w:bottom w:val="none" w:sz="0" w:space="0" w:color="auto"/>
            <w:right w:val="none" w:sz="0" w:space="0" w:color="auto"/>
          </w:divBdr>
        </w:div>
        <w:div w:id="1007027551">
          <w:marLeft w:val="446"/>
          <w:marRight w:val="0"/>
          <w:marTop w:val="0"/>
          <w:marBottom w:val="0"/>
          <w:divBdr>
            <w:top w:val="none" w:sz="0" w:space="0" w:color="auto"/>
            <w:left w:val="none" w:sz="0" w:space="0" w:color="auto"/>
            <w:bottom w:val="none" w:sz="0" w:space="0" w:color="auto"/>
            <w:right w:val="none" w:sz="0" w:space="0" w:color="auto"/>
          </w:divBdr>
        </w:div>
        <w:div w:id="1914855795">
          <w:marLeft w:val="1267"/>
          <w:marRight w:val="0"/>
          <w:marTop w:val="0"/>
          <w:marBottom w:val="0"/>
          <w:divBdr>
            <w:top w:val="none" w:sz="0" w:space="0" w:color="auto"/>
            <w:left w:val="none" w:sz="0" w:space="0" w:color="auto"/>
            <w:bottom w:val="none" w:sz="0" w:space="0" w:color="auto"/>
            <w:right w:val="none" w:sz="0" w:space="0" w:color="auto"/>
          </w:divBdr>
        </w:div>
        <w:div w:id="1703360250">
          <w:marLeft w:val="1267"/>
          <w:marRight w:val="0"/>
          <w:marTop w:val="0"/>
          <w:marBottom w:val="0"/>
          <w:divBdr>
            <w:top w:val="none" w:sz="0" w:space="0" w:color="auto"/>
            <w:left w:val="none" w:sz="0" w:space="0" w:color="auto"/>
            <w:bottom w:val="none" w:sz="0" w:space="0" w:color="auto"/>
            <w:right w:val="none" w:sz="0" w:space="0" w:color="auto"/>
          </w:divBdr>
        </w:div>
      </w:divsChild>
    </w:div>
    <w:div w:id="545069035">
      <w:bodyDiv w:val="1"/>
      <w:marLeft w:val="0"/>
      <w:marRight w:val="0"/>
      <w:marTop w:val="0"/>
      <w:marBottom w:val="0"/>
      <w:divBdr>
        <w:top w:val="none" w:sz="0" w:space="0" w:color="auto"/>
        <w:left w:val="none" w:sz="0" w:space="0" w:color="auto"/>
        <w:bottom w:val="none" w:sz="0" w:space="0" w:color="auto"/>
        <w:right w:val="none" w:sz="0" w:space="0" w:color="auto"/>
      </w:divBdr>
    </w:div>
    <w:div w:id="617378428">
      <w:bodyDiv w:val="1"/>
      <w:marLeft w:val="0"/>
      <w:marRight w:val="0"/>
      <w:marTop w:val="0"/>
      <w:marBottom w:val="0"/>
      <w:divBdr>
        <w:top w:val="none" w:sz="0" w:space="0" w:color="auto"/>
        <w:left w:val="none" w:sz="0" w:space="0" w:color="auto"/>
        <w:bottom w:val="none" w:sz="0" w:space="0" w:color="auto"/>
        <w:right w:val="none" w:sz="0" w:space="0" w:color="auto"/>
      </w:divBdr>
    </w:div>
    <w:div w:id="699622243">
      <w:bodyDiv w:val="1"/>
      <w:marLeft w:val="0"/>
      <w:marRight w:val="0"/>
      <w:marTop w:val="0"/>
      <w:marBottom w:val="0"/>
      <w:divBdr>
        <w:top w:val="none" w:sz="0" w:space="0" w:color="auto"/>
        <w:left w:val="none" w:sz="0" w:space="0" w:color="auto"/>
        <w:bottom w:val="none" w:sz="0" w:space="0" w:color="auto"/>
        <w:right w:val="none" w:sz="0" w:space="0" w:color="auto"/>
      </w:divBdr>
      <w:divsChild>
        <w:div w:id="532617485">
          <w:marLeft w:val="562"/>
          <w:marRight w:val="0"/>
          <w:marTop w:val="0"/>
          <w:marBottom w:val="0"/>
          <w:divBdr>
            <w:top w:val="none" w:sz="0" w:space="0" w:color="auto"/>
            <w:left w:val="none" w:sz="0" w:space="0" w:color="auto"/>
            <w:bottom w:val="none" w:sz="0" w:space="0" w:color="auto"/>
            <w:right w:val="none" w:sz="0" w:space="0" w:color="auto"/>
          </w:divBdr>
        </w:div>
        <w:div w:id="3827119">
          <w:marLeft w:val="1987"/>
          <w:marRight w:val="0"/>
          <w:marTop w:val="0"/>
          <w:marBottom w:val="0"/>
          <w:divBdr>
            <w:top w:val="none" w:sz="0" w:space="0" w:color="auto"/>
            <w:left w:val="none" w:sz="0" w:space="0" w:color="auto"/>
            <w:bottom w:val="none" w:sz="0" w:space="0" w:color="auto"/>
            <w:right w:val="none" w:sz="0" w:space="0" w:color="auto"/>
          </w:divBdr>
        </w:div>
        <w:div w:id="136798195">
          <w:marLeft w:val="1987"/>
          <w:marRight w:val="0"/>
          <w:marTop w:val="0"/>
          <w:marBottom w:val="0"/>
          <w:divBdr>
            <w:top w:val="none" w:sz="0" w:space="0" w:color="auto"/>
            <w:left w:val="none" w:sz="0" w:space="0" w:color="auto"/>
            <w:bottom w:val="none" w:sz="0" w:space="0" w:color="auto"/>
            <w:right w:val="none" w:sz="0" w:space="0" w:color="auto"/>
          </w:divBdr>
        </w:div>
        <w:div w:id="1060984866">
          <w:marLeft w:val="1987"/>
          <w:marRight w:val="0"/>
          <w:marTop w:val="0"/>
          <w:marBottom w:val="0"/>
          <w:divBdr>
            <w:top w:val="none" w:sz="0" w:space="0" w:color="auto"/>
            <w:left w:val="none" w:sz="0" w:space="0" w:color="auto"/>
            <w:bottom w:val="none" w:sz="0" w:space="0" w:color="auto"/>
            <w:right w:val="none" w:sz="0" w:space="0" w:color="auto"/>
          </w:divBdr>
        </w:div>
      </w:divsChild>
    </w:div>
    <w:div w:id="780758767">
      <w:bodyDiv w:val="1"/>
      <w:marLeft w:val="0"/>
      <w:marRight w:val="0"/>
      <w:marTop w:val="0"/>
      <w:marBottom w:val="0"/>
      <w:divBdr>
        <w:top w:val="none" w:sz="0" w:space="0" w:color="auto"/>
        <w:left w:val="none" w:sz="0" w:space="0" w:color="auto"/>
        <w:bottom w:val="none" w:sz="0" w:space="0" w:color="auto"/>
        <w:right w:val="none" w:sz="0" w:space="0" w:color="auto"/>
      </w:divBdr>
    </w:div>
    <w:div w:id="915867722">
      <w:bodyDiv w:val="1"/>
      <w:marLeft w:val="0"/>
      <w:marRight w:val="0"/>
      <w:marTop w:val="0"/>
      <w:marBottom w:val="0"/>
      <w:divBdr>
        <w:top w:val="none" w:sz="0" w:space="0" w:color="auto"/>
        <w:left w:val="none" w:sz="0" w:space="0" w:color="auto"/>
        <w:bottom w:val="none" w:sz="0" w:space="0" w:color="auto"/>
        <w:right w:val="none" w:sz="0" w:space="0" w:color="auto"/>
      </w:divBdr>
    </w:div>
    <w:div w:id="946473161">
      <w:bodyDiv w:val="1"/>
      <w:marLeft w:val="0"/>
      <w:marRight w:val="0"/>
      <w:marTop w:val="0"/>
      <w:marBottom w:val="0"/>
      <w:divBdr>
        <w:top w:val="none" w:sz="0" w:space="0" w:color="auto"/>
        <w:left w:val="none" w:sz="0" w:space="0" w:color="auto"/>
        <w:bottom w:val="none" w:sz="0" w:space="0" w:color="auto"/>
        <w:right w:val="none" w:sz="0" w:space="0" w:color="auto"/>
      </w:divBdr>
    </w:div>
    <w:div w:id="1183087019">
      <w:bodyDiv w:val="1"/>
      <w:marLeft w:val="0"/>
      <w:marRight w:val="0"/>
      <w:marTop w:val="0"/>
      <w:marBottom w:val="0"/>
      <w:divBdr>
        <w:top w:val="none" w:sz="0" w:space="0" w:color="auto"/>
        <w:left w:val="none" w:sz="0" w:space="0" w:color="auto"/>
        <w:bottom w:val="none" w:sz="0" w:space="0" w:color="auto"/>
        <w:right w:val="none" w:sz="0" w:space="0" w:color="auto"/>
      </w:divBdr>
      <w:divsChild>
        <w:div w:id="1953705948">
          <w:marLeft w:val="691"/>
          <w:marRight w:val="0"/>
          <w:marTop w:val="0"/>
          <w:marBottom w:val="0"/>
          <w:divBdr>
            <w:top w:val="none" w:sz="0" w:space="0" w:color="auto"/>
            <w:left w:val="none" w:sz="0" w:space="0" w:color="auto"/>
            <w:bottom w:val="none" w:sz="0" w:space="0" w:color="auto"/>
            <w:right w:val="none" w:sz="0" w:space="0" w:color="auto"/>
          </w:divBdr>
        </w:div>
        <w:div w:id="1268124443">
          <w:marLeft w:val="1987"/>
          <w:marRight w:val="0"/>
          <w:marTop w:val="0"/>
          <w:marBottom w:val="0"/>
          <w:divBdr>
            <w:top w:val="none" w:sz="0" w:space="0" w:color="auto"/>
            <w:left w:val="none" w:sz="0" w:space="0" w:color="auto"/>
            <w:bottom w:val="none" w:sz="0" w:space="0" w:color="auto"/>
            <w:right w:val="none" w:sz="0" w:space="0" w:color="auto"/>
          </w:divBdr>
        </w:div>
        <w:div w:id="779763966">
          <w:marLeft w:val="1987"/>
          <w:marRight w:val="0"/>
          <w:marTop w:val="0"/>
          <w:marBottom w:val="0"/>
          <w:divBdr>
            <w:top w:val="none" w:sz="0" w:space="0" w:color="auto"/>
            <w:left w:val="none" w:sz="0" w:space="0" w:color="auto"/>
            <w:bottom w:val="none" w:sz="0" w:space="0" w:color="auto"/>
            <w:right w:val="none" w:sz="0" w:space="0" w:color="auto"/>
          </w:divBdr>
        </w:div>
        <w:div w:id="1566915758">
          <w:marLeft w:val="1987"/>
          <w:marRight w:val="0"/>
          <w:marTop w:val="0"/>
          <w:marBottom w:val="0"/>
          <w:divBdr>
            <w:top w:val="none" w:sz="0" w:space="0" w:color="auto"/>
            <w:left w:val="none" w:sz="0" w:space="0" w:color="auto"/>
            <w:bottom w:val="none" w:sz="0" w:space="0" w:color="auto"/>
            <w:right w:val="none" w:sz="0" w:space="0" w:color="auto"/>
          </w:divBdr>
        </w:div>
        <w:div w:id="1864054144">
          <w:marLeft w:val="691"/>
          <w:marRight w:val="0"/>
          <w:marTop w:val="0"/>
          <w:marBottom w:val="0"/>
          <w:divBdr>
            <w:top w:val="none" w:sz="0" w:space="0" w:color="auto"/>
            <w:left w:val="none" w:sz="0" w:space="0" w:color="auto"/>
            <w:bottom w:val="none" w:sz="0" w:space="0" w:color="auto"/>
            <w:right w:val="none" w:sz="0" w:space="0" w:color="auto"/>
          </w:divBdr>
        </w:div>
        <w:div w:id="232354809">
          <w:marLeft w:val="1987"/>
          <w:marRight w:val="0"/>
          <w:marTop w:val="0"/>
          <w:marBottom w:val="0"/>
          <w:divBdr>
            <w:top w:val="none" w:sz="0" w:space="0" w:color="auto"/>
            <w:left w:val="none" w:sz="0" w:space="0" w:color="auto"/>
            <w:bottom w:val="none" w:sz="0" w:space="0" w:color="auto"/>
            <w:right w:val="none" w:sz="0" w:space="0" w:color="auto"/>
          </w:divBdr>
        </w:div>
      </w:divsChild>
    </w:div>
    <w:div w:id="1192110208">
      <w:bodyDiv w:val="1"/>
      <w:marLeft w:val="0"/>
      <w:marRight w:val="0"/>
      <w:marTop w:val="0"/>
      <w:marBottom w:val="0"/>
      <w:divBdr>
        <w:top w:val="none" w:sz="0" w:space="0" w:color="auto"/>
        <w:left w:val="none" w:sz="0" w:space="0" w:color="auto"/>
        <w:bottom w:val="none" w:sz="0" w:space="0" w:color="auto"/>
        <w:right w:val="none" w:sz="0" w:space="0" w:color="auto"/>
      </w:divBdr>
    </w:div>
    <w:div w:id="1224834945">
      <w:bodyDiv w:val="1"/>
      <w:marLeft w:val="0"/>
      <w:marRight w:val="0"/>
      <w:marTop w:val="0"/>
      <w:marBottom w:val="0"/>
      <w:divBdr>
        <w:top w:val="none" w:sz="0" w:space="0" w:color="auto"/>
        <w:left w:val="none" w:sz="0" w:space="0" w:color="auto"/>
        <w:bottom w:val="none" w:sz="0" w:space="0" w:color="auto"/>
        <w:right w:val="none" w:sz="0" w:space="0" w:color="auto"/>
      </w:divBdr>
      <w:divsChild>
        <w:div w:id="339894140">
          <w:marLeft w:val="446"/>
          <w:marRight w:val="0"/>
          <w:marTop w:val="96"/>
          <w:marBottom w:val="0"/>
          <w:divBdr>
            <w:top w:val="none" w:sz="0" w:space="0" w:color="auto"/>
            <w:left w:val="none" w:sz="0" w:space="0" w:color="auto"/>
            <w:bottom w:val="none" w:sz="0" w:space="0" w:color="auto"/>
            <w:right w:val="none" w:sz="0" w:space="0" w:color="auto"/>
          </w:divBdr>
        </w:div>
        <w:div w:id="157817875">
          <w:marLeft w:val="1267"/>
          <w:marRight w:val="0"/>
          <w:marTop w:val="91"/>
          <w:marBottom w:val="0"/>
          <w:divBdr>
            <w:top w:val="none" w:sz="0" w:space="0" w:color="auto"/>
            <w:left w:val="none" w:sz="0" w:space="0" w:color="auto"/>
            <w:bottom w:val="none" w:sz="0" w:space="0" w:color="auto"/>
            <w:right w:val="none" w:sz="0" w:space="0" w:color="auto"/>
          </w:divBdr>
        </w:div>
        <w:div w:id="1936594308">
          <w:marLeft w:val="1800"/>
          <w:marRight w:val="0"/>
          <w:marTop w:val="82"/>
          <w:marBottom w:val="0"/>
          <w:divBdr>
            <w:top w:val="none" w:sz="0" w:space="0" w:color="auto"/>
            <w:left w:val="none" w:sz="0" w:space="0" w:color="auto"/>
            <w:bottom w:val="none" w:sz="0" w:space="0" w:color="auto"/>
            <w:right w:val="none" w:sz="0" w:space="0" w:color="auto"/>
          </w:divBdr>
        </w:div>
        <w:div w:id="1468663182">
          <w:marLeft w:val="1800"/>
          <w:marRight w:val="0"/>
          <w:marTop w:val="82"/>
          <w:marBottom w:val="0"/>
          <w:divBdr>
            <w:top w:val="none" w:sz="0" w:space="0" w:color="auto"/>
            <w:left w:val="none" w:sz="0" w:space="0" w:color="auto"/>
            <w:bottom w:val="none" w:sz="0" w:space="0" w:color="auto"/>
            <w:right w:val="none" w:sz="0" w:space="0" w:color="auto"/>
          </w:divBdr>
        </w:div>
        <w:div w:id="1012953361">
          <w:marLeft w:val="446"/>
          <w:marRight w:val="0"/>
          <w:marTop w:val="96"/>
          <w:marBottom w:val="0"/>
          <w:divBdr>
            <w:top w:val="none" w:sz="0" w:space="0" w:color="auto"/>
            <w:left w:val="none" w:sz="0" w:space="0" w:color="auto"/>
            <w:bottom w:val="none" w:sz="0" w:space="0" w:color="auto"/>
            <w:right w:val="none" w:sz="0" w:space="0" w:color="auto"/>
          </w:divBdr>
        </w:div>
        <w:div w:id="999042926">
          <w:marLeft w:val="1267"/>
          <w:marRight w:val="0"/>
          <w:marTop w:val="91"/>
          <w:marBottom w:val="0"/>
          <w:divBdr>
            <w:top w:val="none" w:sz="0" w:space="0" w:color="auto"/>
            <w:left w:val="none" w:sz="0" w:space="0" w:color="auto"/>
            <w:bottom w:val="none" w:sz="0" w:space="0" w:color="auto"/>
            <w:right w:val="none" w:sz="0" w:space="0" w:color="auto"/>
          </w:divBdr>
        </w:div>
        <w:div w:id="464545209">
          <w:marLeft w:val="1267"/>
          <w:marRight w:val="0"/>
          <w:marTop w:val="91"/>
          <w:marBottom w:val="0"/>
          <w:divBdr>
            <w:top w:val="none" w:sz="0" w:space="0" w:color="auto"/>
            <w:left w:val="none" w:sz="0" w:space="0" w:color="auto"/>
            <w:bottom w:val="none" w:sz="0" w:space="0" w:color="auto"/>
            <w:right w:val="none" w:sz="0" w:space="0" w:color="auto"/>
          </w:divBdr>
        </w:div>
        <w:div w:id="288897700">
          <w:marLeft w:val="1267"/>
          <w:marRight w:val="0"/>
          <w:marTop w:val="91"/>
          <w:marBottom w:val="0"/>
          <w:divBdr>
            <w:top w:val="none" w:sz="0" w:space="0" w:color="auto"/>
            <w:left w:val="none" w:sz="0" w:space="0" w:color="auto"/>
            <w:bottom w:val="none" w:sz="0" w:space="0" w:color="auto"/>
            <w:right w:val="none" w:sz="0" w:space="0" w:color="auto"/>
          </w:divBdr>
        </w:div>
        <w:div w:id="1190491754">
          <w:marLeft w:val="446"/>
          <w:marRight w:val="0"/>
          <w:marTop w:val="96"/>
          <w:marBottom w:val="0"/>
          <w:divBdr>
            <w:top w:val="none" w:sz="0" w:space="0" w:color="auto"/>
            <w:left w:val="none" w:sz="0" w:space="0" w:color="auto"/>
            <w:bottom w:val="none" w:sz="0" w:space="0" w:color="auto"/>
            <w:right w:val="none" w:sz="0" w:space="0" w:color="auto"/>
          </w:divBdr>
        </w:div>
        <w:div w:id="2056467274">
          <w:marLeft w:val="1267"/>
          <w:marRight w:val="0"/>
          <w:marTop w:val="91"/>
          <w:marBottom w:val="0"/>
          <w:divBdr>
            <w:top w:val="none" w:sz="0" w:space="0" w:color="auto"/>
            <w:left w:val="none" w:sz="0" w:space="0" w:color="auto"/>
            <w:bottom w:val="none" w:sz="0" w:space="0" w:color="auto"/>
            <w:right w:val="none" w:sz="0" w:space="0" w:color="auto"/>
          </w:divBdr>
        </w:div>
        <w:div w:id="1880163409">
          <w:marLeft w:val="1267"/>
          <w:marRight w:val="0"/>
          <w:marTop w:val="91"/>
          <w:marBottom w:val="0"/>
          <w:divBdr>
            <w:top w:val="none" w:sz="0" w:space="0" w:color="auto"/>
            <w:left w:val="none" w:sz="0" w:space="0" w:color="auto"/>
            <w:bottom w:val="none" w:sz="0" w:space="0" w:color="auto"/>
            <w:right w:val="none" w:sz="0" w:space="0" w:color="auto"/>
          </w:divBdr>
        </w:div>
        <w:div w:id="829060092">
          <w:marLeft w:val="1886"/>
          <w:marRight w:val="0"/>
          <w:marTop w:val="82"/>
          <w:marBottom w:val="0"/>
          <w:divBdr>
            <w:top w:val="none" w:sz="0" w:space="0" w:color="auto"/>
            <w:left w:val="none" w:sz="0" w:space="0" w:color="auto"/>
            <w:bottom w:val="none" w:sz="0" w:space="0" w:color="auto"/>
            <w:right w:val="none" w:sz="0" w:space="0" w:color="auto"/>
          </w:divBdr>
        </w:div>
        <w:div w:id="1456635098">
          <w:marLeft w:val="1886"/>
          <w:marRight w:val="0"/>
          <w:marTop w:val="82"/>
          <w:marBottom w:val="0"/>
          <w:divBdr>
            <w:top w:val="none" w:sz="0" w:space="0" w:color="auto"/>
            <w:left w:val="none" w:sz="0" w:space="0" w:color="auto"/>
            <w:bottom w:val="none" w:sz="0" w:space="0" w:color="auto"/>
            <w:right w:val="none" w:sz="0" w:space="0" w:color="auto"/>
          </w:divBdr>
        </w:div>
        <w:div w:id="367461825">
          <w:marLeft w:val="1886"/>
          <w:marRight w:val="0"/>
          <w:marTop w:val="82"/>
          <w:marBottom w:val="0"/>
          <w:divBdr>
            <w:top w:val="none" w:sz="0" w:space="0" w:color="auto"/>
            <w:left w:val="none" w:sz="0" w:space="0" w:color="auto"/>
            <w:bottom w:val="none" w:sz="0" w:space="0" w:color="auto"/>
            <w:right w:val="none" w:sz="0" w:space="0" w:color="auto"/>
          </w:divBdr>
        </w:div>
      </w:divsChild>
    </w:div>
    <w:div w:id="1368292001">
      <w:bodyDiv w:val="1"/>
      <w:marLeft w:val="0"/>
      <w:marRight w:val="0"/>
      <w:marTop w:val="0"/>
      <w:marBottom w:val="0"/>
      <w:divBdr>
        <w:top w:val="none" w:sz="0" w:space="0" w:color="auto"/>
        <w:left w:val="none" w:sz="0" w:space="0" w:color="auto"/>
        <w:bottom w:val="none" w:sz="0" w:space="0" w:color="auto"/>
        <w:right w:val="none" w:sz="0" w:space="0" w:color="auto"/>
      </w:divBdr>
      <w:divsChild>
        <w:div w:id="575406692">
          <w:marLeft w:val="562"/>
          <w:marRight w:val="0"/>
          <w:marTop w:val="0"/>
          <w:marBottom w:val="0"/>
          <w:divBdr>
            <w:top w:val="none" w:sz="0" w:space="0" w:color="auto"/>
            <w:left w:val="none" w:sz="0" w:space="0" w:color="auto"/>
            <w:bottom w:val="none" w:sz="0" w:space="0" w:color="auto"/>
            <w:right w:val="none" w:sz="0" w:space="0" w:color="auto"/>
          </w:divBdr>
        </w:div>
        <w:div w:id="1500078892">
          <w:marLeft w:val="1987"/>
          <w:marRight w:val="0"/>
          <w:marTop w:val="0"/>
          <w:marBottom w:val="0"/>
          <w:divBdr>
            <w:top w:val="none" w:sz="0" w:space="0" w:color="auto"/>
            <w:left w:val="none" w:sz="0" w:space="0" w:color="auto"/>
            <w:bottom w:val="none" w:sz="0" w:space="0" w:color="auto"/>
            <w:right w:val="none" w:sz="0" w:space="0" w:color="auto"/>
          </w:divBdr>
        </w:div>
        <w:div w:id="303893545">
          <w:marLeft w:val="1987"/>
          <w:marRight w:val="0"/>
          <w:marTop w:val="0"/>
          <w:marBottom w:val="0"/>
          <w:divBdr>
            <w:top w:val="none" w:sz="0" w:space="0" w:color="auto"/>
            <w:left w:val="none" w:sz="0" w:space="0" w:color="auto"/>
            <w:bottom w:val="none" w:sz="0" w:space="0" w:color="auto"/>
            <w:right w:val="none" w:sz="0" w:space="0" w:color="auto"/>
          </w:divBdr>
        </w:div>
        <w:div w:id="1992828756">
          <w:marLeft w:val="1987"/>
          <w:marRight w:val="0"/>
          <w:marTop w:val="0"/>
          <w:marBottom w:val="0"/>
          <w:divBdr>
            <w:top w:val="none" w:sz="0" w:space="0" w:color="auto"/>
            <w:left w:val="none" w:sz="0" w:space="0" w:color="auto"/>
            <w:bottom w:val="none" w:sz="0" w:space="0" w:color="auto"/>
            <w:right w:val="none" w:sz="0" w:space="0" w:color="auto"/>
          </w:divBdr>
        </w:div>
      </w:divsChild>
    </w:div>
    <w:div w:id="1385451235">
      <w:bodyDiv w:val="1"/>
      <w:marLeft w:val="0"/>
      <w:marRight w:val="0"/>
      <w:marTop w:val="0"/>
      <w:marBottom w:val="0"/>
      <w:divBdr>
        <w:top w:val="none" w:sz="0" w:space="0" w:color="auto"/>
        <w:left w:val="none" w:sz="0" w:space="0" w:color="auto"/>
        <w:bottom w:val="none" w:sz="0" w:space="0" w:color="auto"/>
        <w:right w:val="none" w:sz="0" w:space="0" w:color="auto"/>
      </w:divBdr>
    </w:div>
    <w:div w:id="1387334466">
      <w:bodyDiv w:val="1"/>
      <w:marLeft w:val="0"/>
      <w:marRight w:val="0"/>
      <w:marTop w:val="0"/>
      <w:marBottom w:val="0"/>
      <w:divBdr>
        <w:top w:val="none" w:sz="0" w:space="0" w:color="auto"/>
        <w:left w:val="none" w:sz="0" w:space="0" w:color="auto"/>
        <w:bottom w:val="none" w:sz="0" w:space="0" w:color="auto"/>
        <w:right w:val="none" w:sz="0" w:space="0" w:color="auto"/>
      </w:divBdr>
    </w:div>
    <w:div w:id="1420709683">
      <w:bodyDiv w:val="1"/>
      <w:marLeft w:val="0"/>
      <w:marRight w:val="0"/>
      <w:marTop w:val="0"/>
      <w:marBottom w:val="0"/>
      <w:divBdr>
        <w:top w:val="none" w:sz="0" w:space="0" w:color="auto"/>
        <w:left w:val="none" w:sz="0" w:space="0" w:color="auto"/>
        <w:bottom w:val="none" w:sz="0" w:space="0" w:color="auto"/>
        <w:right w:val="none" w:sz="0" w:space="0" w:color="auto"/>
      </w:divBdr>
    </w:div>
    <w:div w:id="1452935998">
      <w:bodyDiv w:val="1"/>
      <w:marLeft w:val="0"/>
      <w:marRight w:val="0"/>
      <w:marTop w:val="0"/>
      <w:marBottom w:val="0"/>
      <w:divBdr>
        <w:top w:val="none" w:sz="0" w:space="0" w:color="auto"/>
        <w:left w:val="none" w:sz="0" w:space="0" w:color="auto"/>
        <w:bottom w:val="none" w:sz="0" w:space="0" w:color="auto"/>
        <w:right w:val="none" w:sz="0" w:space="0" w:color="auto"/>
      </w:divBdr>
    </w:div>
    <w:div w:id="1456171801">
      <w:bodyDiv w:val="1"/>
      <w:marLeft w:val="0"/>
      <w:marRight w:val="0"/>
      <w:marTop w:val="0"/>
      <w:marBottom w:val="0"/>
      <w:divBdr>
        <w:top w:val="none" w:sz="0" w:space="0" w:color="auto"/>
        <w:left w:val="none" w:sz="0" w:space="0" w:color="auto"/>
        <w:bottom w:val="none" w:sz="0" w:space="0" w:color="auto"/>
        <w:right w:val="none" w:sz="0" w:space="0" w:color="auto"/>
      </w:divBdr>
    </w:div>
    <w:div w:id="1460493091">
      <w:bodyDiv w:val="1"/>
      <w:marLeft w:val="0"/>
      <w:marRight w:val="0"/>
      <w:marTop w:val="0"/>
      <w:marBottom w:val="0"/>
      <w:divBdr>
        <w:top w:val="none" w:sz="0" w:space="0" w:color="auto"/>
        <w:left w:val="none" w:sz="0" w:space="0" w:color="auto"/>
        <w:bottom w:val="none" w:sz="0" w:space="0" w:color="auto"/>
        <w:right w:val="none" w:sz="0" w:space="0" w:color="auto"/>
      </w:divBdr>
    </w:div>
    <w:div w:id="1722316835">
      <w:bodyDiv w:val="1"/>
      <w:marLeft w:val="0"/>
      <w:marRight w:val="0"/>
      <w:marTop w:val="0"/>
      <w:marBottom w:val="0"/>
      <w:divBdr>
        <w:top w:val="none" w:sz="0" w:space="0" w:color="auto"/>
        <w:left w:val="none" w:sz="0" w:space="0" w:color="auto"/>
        <w:bottom w:val="none" w:sz="0" w:space="0" w:color="auto"/>
        <w:right w:val="none" w:sz="0" w:space="0" w:color="auto"/>
      </w:divBdr>
    </w:div>
    <w:div w:id="1775050505">
      <w:bodyDiv w:val="1"/>
      <w:marLeft w:val="0"/>
      <w:marRight w:val="0"/>
      <w:marTop w:val="0"/>
      <w:marBottom w:val="0"/>
      <w:divBdr>
        <w:top w:val="none" w:sz="0" w:space="0" w:color="auto"/>
        <w:left w:val="none" w:sz="0" w:space="0" w:color="auto"/>
        <w:bottom w:val="none" w:sz="0" w:space="0" w:color="auto"/>
        <w:right w:val="none" w:sz="0" w:space="0" w:color="auto"/>
      </w:divBdr>
      <w:divsChild>
        <w:div w:id="1709722535">
          <w:marLeft w:val="547"/>
          <w:marRight w:val="0"/>
          <w:marTop w:val="216"/>
          <w:marBottom w:val="0"/>
          <w:divBdr>
            <w:top w:val="none" w:sz="0" w:space="0" w:color="auto"/>
            <w:left w:val="none" w:sz="0" w:space="0" w:color="auto"/>
            <w:bottom w:val="none" w:sz="0" w:space="0" w:color="auto"/>
            <w:right w:val="none" w:sz="0" w:space="0" w:color="auto"/>
          </w:divBdr>
        </w:div>
        <w:div w:id="805701587">
          <w:marLeft w:val="547"/>
          <w:marRight w:val="0"/>
          <w:marTop w:val="216"/>
          <w:marBottom w:val="0"/>
          <w:divBdr>
            <w:top w:val="none" w:sz="0" w:space="0" w:color="auto"/>
            <w:left w:val="none" w:sz="0" w:space="0" w:color="auto"/>
            <w:bottom w:val="none" w:sz="0" w:space="0" w:color="auto"/>
            <w:right w:val="none" w:sz="0" w:space="0" w:color="auto"/>
          </w:divBdr>
        </w:div>
        <w:div w:id="1605960641">
          <w:marLeft w:val="547"/>
          <w:marRight w:val="0"/>
          <w:marTop w:val="216"/>
          <w:marBottom w:val="0"/>
          <w:divBdr>
            <w:top w:val="none" w:sz="0" w:space="0" w:color="auto"/>
            <w:left w:val="none" w:sz="0" w:space="0" w:color="auto"/>
            <w:bottom w:val="none" w:sz="0" w:space="0" w:color="auto"/>
            <w:right w:val="none" w:sz="0" w:space="0" w:color="auto"/>
          </w:divBdr>
        </w:div>
        <w:div w:id="2116896342">
          <w:marLeft w:val="547"/>
          <w:marRight w:val="0"/>
          <w:marTop w:val="216"/>
          <w:marBottom w:val="0"/>
          <w:divBdr>
            <w:top w:val="none" w:sz="0" w:space="0" w:color="auto"/>
            <w:left w:val="none" w:sz="0" w:space="0" w:color="auto"/>
            <w:bottom w:val="none" w:sz="0" w:space="0" w:color="auto"/>
            <w:right w:val="none" w:sz="0" w:space="0" w:color="auto"/>
          </w:divBdr>
        </w:div>
      </w:divsChild>
    </w:div>
    <w:div w:id="1838958637">
      <w:bodyDiv w:val="1"/>
      <w:marLeft w:val="0"/>
      <w:marRight w:val="0"/>
      <w:marTop w:val="0"/>
      <w:marBottom w:val="0"/>
      <w:divBdr>
        <w:top w:val="none" w:sz="0" w:space="0" w:color="auto"/>
        <w:left w:val="none" w:sz="0" w:space="0" w:color="auto"/>
        <w:bottom w:val="none" w:sz="0" w:space="0" w:color="auto"/>
        <w:right w:val="none" w:sz="0" w:space="0" w:color="auto"/>
      </w:divBdr>
    </w:div>
    <w:div w:id="1871458474">
      <w:bodyDiv w:val="1"/>
      <w:marLeft w:val="0"/>
      <w:marRight w:val="0"/>
      <w:marTop w:val="0"/>
      <w:marBottom w:val="0"/>
      <w:divBdr>
        <w:top w:val="none" w:sz="0" w:space="0" w:color="auto"/>
        <w:left w:val="none" w:sz="0" w:space="0" w:color="auto"/>
        <w:bottom w:val="none" w:sz="0" w:space="0" w:color="auto"/>
        <w:right w:val="none" w:sz="0" w:space="0" w:color="auto"/>
      </w:divBdr>
    </w:div>
    <w:div w:id="1901400324">
      <w:bodyDiv w:val="1"/>
      <w:marLeft w:val="0"/>
      <w:marRight w:val="0"/>
      <w:marTop w:val="0"/>
      <w:marBottom w:val="0"/>
      <w:divBdr>
        <w:top w:val="none" w:sz="0" w:space="0" w:color="auto"/>
        <w:left w:val="none" w:sz="0" w:space="0" w:color="auto"/>
        <w:bottom w:val="none" w:sz="0" w:space="0" w:color="auto"/>
        <w:right w:val="none" w:sz="0" w:space="0" w:color="auto"/>
      </w:divBdr>
    </w:div>
    <w:div w:id="1943030574">
      <w:bodyDiv w:val="1"/>
      <w:marLeft w:val="0"/>
      <w:marRight w:val="0"/>
      <w:marTop w:val="0"/>
      <w:marBottom w:val="0"/>
      <w:divBdr>
        <w:top w:val="none" w:sz="0" w:space="0" w:color="auto"/>
        <w:left w:val="none" w:sz="0" w:space="0" w:color="auto"/>
        <w:bottom w:val="none" w:sz="0" w:space="0" w:color="auto"/>
        <w:right w:val="none" w:sz="0" w:space="0" w:color="auto"/>
      </w:divBdr>
      <w:divsChild>
        <w:div w:id="1888030063">
          <w:marLeft w:val="446"/>
          <w:marRight w:val="0"/>
          <w:marTop w:val="0"/>
          <w:marBottom w:val="0"/>
          <w:divBdr>
            <w:top w:val="none" w:sz="0" w:space="0" w:color="auto"/>
            <w:left w:val="none" w:sz="0" w:space="0" w:color="auto"/>
            <w:bottom w:val="none" w:sz="0" w:space="0" w:color="auto"/>
            <w:right w:val="none" w:sz="0" w:space="0" w:color="auto"/>
          </w:divBdr>
        </w:div>
        <w:div w:id="1028334269">
          <w:marLeft w:val="1267"/>
          <w:marRight w:val="0"/>
          <w:marTop w:val="0"/>
          <w:marBottom w:val="0"/>
          <w:divBdr>
            <w:top w:val="none" w:sz="0" w:space="0" w:color="auto"/>
            <w:left w:val="none" w:sz="0" w:space="0" w:color="auto"/>
            <w:bottom w:val="none" w:sz="0" w:space="0" w:color="auto"/>
            <w:right w:val="none" w:sz="0" w:space="0" w:color="auto"/>
          </w:divBdr>
        </w:div>
        <w:div w:id="553546084">
          <w:marLeft w:val="446"/>
          <w:marRight w:val="0"/>
          <w:marTop w:val="0"/>
          <w:marBottom w:val="0"/>
          <w:divBdr>
            <w:top w:val="none" w:sz="0" w:space="0" w:color="auto"/>
            <w:left w:val="none" w:sz="0" w:space="0" w:color="auto"/>
            <w:bottom w:val="none" w:sz="0" w:space="0" w:color="auto"/>
            <w:right w:val="none" w:sz="0" w:space="0" w:color="auto"/>
          </w:divBdr>
        </w:div>
        <w:div w:id="1289312301">
          <w:marLeft w:val="1267"/>
          <w:marRight w:val="0"/>
          <w:marTop w:val="0"/>
          <w:marBottom w:val="0"/>
          <w:divBdr>
            <w:top w:val="none" w:sz="0" w:space="0" w:color="auto"/>
            <w:left w:val="none" w:sz="0" w:space="0" w:color="auto"/>
            <w:bottom w:val="none" w:sz="0" w:space="0" w:color="auto"/>
            <w:right w:val="none" w:sz="0" w:space="0" w:color="auto"/>
          </w:divBdr>
        </w:div>
        <w:div w:id="1036587944">
          <w:marLeft w:val="446"/>
          <w:marRight w:val="0"/>
          <w:marTop w:val="0"/>
          <w:marBottom w:val="0"/>
          <w:divBdr>
            <w:top w:val="none" w:sz="0" w:space="0" w:color="auto"/>
            <w:left w:val="none" w:sz="0" w:space="0" w:color="auto"/>
            <w:bottom w:val="none" w:sz="0" w:space="0" w:color="auto"/>
            <w:right w:val="none" w:sz="0" w:space="0" w:color="auto"/>
          </w:divBdr>
        </w:div>
        <w:div w:id="798381600">
          <w:marLeft w:val="1267"/>
          <w:marRight w:val="0"/>
          <w:marTop w:val="0"/>
          <w:marBottom w:val="0"/>
          <w:divBdr>
            <w:top w:val="none" w:sz="0" w:space="0" w:color="auto"/>
            <w:left w:val="none" w:sz="0" w:space="0" w:color="auto"/>
            <w:bottom w:val="none" w:sz="0" w:space="0" w:color="auto"/>
            <w:right w:val="none" w:sz="0" w:space="0" w:color="auto"/>
          </w:divBdr>
        </w:div>
        <w:div w:id="1685983740">
          <w:marLeft w:val="1267"/>
          <w:marRight w:val="0"/>
          <w:marTop w:val="0"/>
          <w:marBottom w:val="0"/>
          <w:divBdr>
            <w:top w:val="none" w:sz="0" w:space="0" w:color="auto"/>
            <w:left w:val="none" w:sz="0" w:space="0" w:color="auto"/>
            <w:bottom w:val="none" w:sz="0" w:space="0" w:color="auto"/>
            <w:right w:val="none" w:sz="0" w:space="0" w:color="auto"/>
          </w:divBdr>
        </w:div>
      </w:divsChild>
    </w:div>
    <w:div w:id="1956672280">
      <w:bodyDiv w:val="1"/>
      <w:marLeft w:val="0"/>
      <w:marRight w:val="0"/>
      <w:marTop w:val="0"/>
      <w:marBottom w:val="0"/>
      <w:divBdr>
        <w:top w:val="none" w:sz="0" w:space="0" w:color="auto"/>
        <w:left w:val="none" w:sz="0" w:space="0" w:color="auto"/>
        <w:bottom w:val="none" w:sz="0" w:space="0" w:color="auto"/>
        <w:right w:val="none" w:sz="0" w:space="0" w:color="auto"/>
      </w:divBdr>
    </w:div>
    <w:div w:id="213995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cpr.banque-france.fr/sites/default/files/media/2022/05/17/20220517_recommandation_2022-r-01_traitement_reclamation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22E9F-C187-454B-834A-6DD6C99E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6660</Words>
  <Characters>36631</Characters>
  <Application>Microsoft Office Word</Application>
  <DocSecurity>0</DocSecurity>
  <Lines>305</Lines>
  <Paragraphs>86</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SOUBIELLE Marine (DGSO DIIP)</dc:creator>
  <cp:keywords/>
  <dc:description/>
  <cp:lastModifiedBy>ADmin</cp:lastModifiedBy>
  <cp:revision>2</cp:revision>
  <dcterms:created xsi:type="dcterms:W3CDTF">2023-05-19T09:07:00Z</dcterms:created>
  <dcterms:modified xsi:type="dcterms:W3CDTF">2023-05-19T09:07:00Z</dcterms:modified>
</cp:coreProperties>
</file>