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B994" w14:textId="4C7CC94E" w:rsidR="00F00ADB" w:rsidRPr="007A3E77" w:rsidRDefault="00F00ADB" w:rsidP="00F00ADB">
      <w:pPr>
        <w:jc w:val="center"/>
        <w:rPr>
          <w:b/>
          <w:bCs/>
          <w:sz w:val="36"/>
          <w:szCs w:val="36"/>
        </w:rPr>
      </w:pPr>
      <w:r w:rsidRPr="007A3E77">
        <w:rPr>
          <w:b/>
          <w:bCs/>
          <w:sz w:val="36"/>
          <w:szCs w:val="36"/>
          <w:highlight w:val="yellow"/>
        </w:rPr>
        <w:t>Critiques et propositions sur la SNANC</w:t>
      </w:r>
    </w:p>
    <w:p w14:paraId="5B9F1929" w14:textId="0B7EE850" w:rsidR="00F00ADB" w:rsidRPr="007A3E77" w:rsidRDefault="00F00ADB">
      <w:pPr>
        <w:rPr>
          <w:sz w:val="28"/>
          <w:szCs w:val="28"/>
        </w:rPr>
      </w:pPr>
    </w:p>
    <w:p w14:paraId="1EA30654" w14:textId="4E4C2557" w:rsidR="00447FCC" w:rsidRPr="007A3E77" w:rsidRDefault="00447FCC">
      <w:pPr>
        <w:rPr>
          <w:sz w:val="28"/>
          <w:szCs w:val="28"/>
        </w:rPr>
      </w:pPr>
      <w:r w:rsidRPr="007A3E77">
        <w:rPr>
          <w:sz w:val="28"/>
          <w:szCs w:val="28"/>
        </w:rPr>
        <w:t>Critiques et propositions par :</w:t>
      </w:r>
    </w:p>
    <w:p w14:paraId="5A416022" w14:textId="1F5330A0" w:rsidR="00447FCC" w:rsidRPr="007A3E77" w:rsidRDefault="00447FCC" w:rsidP="007A3E77">
      <w:pPr>
        <w:pStyle w:val="Paragraphedeliste"/>
        <w:numPr>
          <w:ilvl w:val="0"/>
          <w:numId w:val="4"/>
        </w:numPr>
        <w:rPr>
          <w:sz w:val="28"/>
          <w:szCs w:val="28"/>
        </w:rPr>
      </w:pPr>
      <w:r w:rsidRPr="007A3E77">
        <w:rPr>
          <w:sz w:val="28"/>
          <w:szCs w:val="28"/>
        </w:rPr>
        <w:t>Réseau Action Climat</w:t>
      </w:r>
    </w:p>
    <w:p w14:paraId="557D2ACA" w14:textId="731C4EB1" w:rsidR="00447FCC" w:rsidRPr="007A3E77" w:rsidRDefault="00447FCC" w:rsidP="007A3E77">
      <w:pPr>
        <w:pStyle w:val="Paragraphedeliste"/>
        <w:numPr>
          <w:ilvl w:val="0"/>
          <w:numId w:val="4"/>
        </w:numPr>
        <w:rPr>
          <w:sz w:val="28"/>
          <w:szCs w:val="28"/>
        </w:rPr>
      </w:pPr>
      <w:r w:rsidRPr="007A3E77">
        <w:rPr>
          <w:sz w:val="28"/>
          <w:szCs w:val="28"/>
        </w:rPr>
        <w:t>IDDRI</w:t>
      </w:r>
    </w:p>
    <w:p w14:paraId="2003CC8C" w14:textId="47B7D819" w:rsidR="00447FCC" w:rsidRPr="007A3E77" w:rsidRDefault="00447FCC" w:rsidP="007A3E77">
      <w:pPr>
        <w:pStyle w:val="Paragraphedeliste"/>
        <w:numPr>
          <w:ilvl w:val="0"/>
          <w:numId w:val="4"/>
        </w:numPr>
        <w:rPr>
          <w:sz w:val="28"/>
          <w:szCs w:val="28"/>
        </w:rPr>
      </w:pPr>
      <w:r w:rsidRPr="007A3E77">
        <w:rPr>
          <w:sz w:val="28"/>
          <w:szCs w:val="28"/>
        </w:rPr>
        <w:t>HCSP</w:t>
      </w:r>
    </w:p>
    <w:p w14:paraId="72EA05C1" w14:textId="7B60756C" w:rsidR="00447FCC" w:rsidRPr="007A3E77" w:rsidRDefault="00447FCC" w:rsidP="007A3E77">
      <w:pPr>
        <w:pStyle w:val="Paragraphedeliste"/>
        <w:numPr>
          <w:ilvl w:val="0"/>
          <w:numId w:val="4"/>
        </w:numPr>
        <w:rPr>
          <w:sz w:val="28"/>
          <w:szCs w:val="28"/>
        </w:rPr>
      </w:pPr>
      <w:r w:rsidRPr="007A3E77">
        <w:rPr>
          <w:sz w:val="28"/>
          <w:szCs w:val="28"/>
        </w:rPr>
        <w:t>FNSEA</w:t>
      </w:r>
    </w:p>
    <w:p w14:paraId="3E85B010" w14:textId="35C4803C" w:rsidR="007A3E77" w:rsidRPr="007A3E77" w:rsidRDefault="007A3E77" w:rsidP="007A3E77">
      <w:pPr>
        <w:pStyle w:val="Paragraphedeliste"/>
        <w:numPr>
          <w:ilvl w:val="0"/>
          <w:numId w:val="4"/>
        </w:numPr>
        <w:rPr>
          <w:sz w:val="28"/>
          <w:szCs w:val="28"/>
        </w:rPr>
      </w:pPr>
      <w:r w:rsidRPr="007A3E77">
        <w:rPr>
          <w:sz w:val="28"/>
          <w:szCs w:val="28"/>
        </w:rPr>
        <w:t>Coordination rurale</w:t>
      </w:r>
    </w:p>
    <w:p w14:paraId="4E785709" w14:textId="48076B95" w:rsidR="007A3E77" w:rsidRDefault="007A3E77" w:rsidP="007A3E77">
      <w:pPr>
        <w:pStyle w:val="Paragraphedeliste"/>
        <w:numPr>
          <w:ilvl w:val="0"/>
          <w:numId w:val="4"/>
        </w:numPr>
        <w:rPr>
          <w:sz w:val="28"/>
          <w:szCs w:val="28"/>
        </w:rPr>
      </w:pPr>
      <w:r w:rsidRPr="007A3E77">
        <w:rPr>
          <w:sz w:val="28"/>
          <w:szCs w:val="28"/>
        </w:rPr>
        <w:t>Confédération paysanne</w:t>
      </w:r>
    </w:p>
    <w:p w14:paraId="5FB70F84" w14:textId="210DB893" w:rsidR="00EE1E7C" w:rsidRPr="007A3E77" w:rsidRDefault="00EE1E7C" w:rsidP="007A3E77">
      <w:pPr>
        <w:pStyle w:val="Paragraphedeliste"/>
        <w:numPr>
          <w:ilvl w:val="0"/>
          <w:numId w:val="4"/>
        </w:numPr>
        <w:rPr>
          <w:sz w:val="28"/>
          <w:szCs w:val="28"/>
        </w:rPr>
      </w:pPr>
      <w:r>
        <w:rPr>
          <w:sz w:val="28"/>
          <w:szCs w:val="28"/>
        </w:rPr>
        <w:t>Lettre à Borne</w:t>
      </w:r>
    </w:p>
    <w:p w14:paraId="18D9AF1C" w14:textId="77777777" w:rsidR="00447FCC" w:rsidRPr="007A3E77" w:rsidRDefault="00447FCC">
      <w:pPr>
        <w:rPr>
          <w:sz w:val="28"/>
          <w:szCs w:val="28"/>
        </w:rPr>
      </w:pPr>
    </w:p>
    <w:p w14:paraId="6CE7FE34" w14:textId="535E16D7" w:rsidR="00AE64DF" w:rsidRPr="007A3E77" w:rsidRDefault="00C04420">
      <w:pPr>
        <w:rPr>
          <w:b/>
          <w:bCs/>
          <w:sz w:val="28"/>
          <w:szCs w:val="28"/>
        </w:rPr>
      </w:pPr>
      <w:r w:rsidRPr="007A3E77">
        <w:rPr>
          <w:b/>
          <w:bCs/>
          <w:sz w:val="32"/>
          <w:szCs w:val="32"/>
          <w:highlight w:val="yellow"/>
        </w:rPr>
        <w:t>Réseau Action Climat</w:t>
      </w:r>
    </w:p>
    <w:p w14:paraId="7179AE39" w14:textId="1799D501" w:rsidR="00F00ADB" w:rsidRPr="007A3E77" w:rsidRDefault="00F00ADB">
      <w:pPr>
        <w:rPr>
          <w:sz w:val="28"/>
          <w:szCs w:val="28"/>
        </w:rPr>
      </w:pPr>
      <w:r w:rsidRPr="007A3E77">
        <w:rPr>
          <w:sz w:val="28"/>
          <w:szCs w:val="28"/>
        </w:rPr>
        <w:t xml:space="preserve">Nous portons ensemble 13 recommandations prioritaires pour la SNANC </w:t>
      </w:r>
    </w:p>
    <w:p w14:paraId="04F856E7" w14:textId="568974F6" w:rsidR="00F00ADB" w:rsidRPr="007A3E77" w:rsidRDefault="00F00ADB">
      <w:pPr>
        <w:rPr>
          <w:sz w:val="28"/>
          <w:szCs w:val="28"/>
        </w:rPr>
      </w:pPr>
      <w:r w:rsidRPr="007A3E77">
        <w:rPr>
          <w:sz w:val="28"/>
          <w:szCs w:val="28"/>
        </w:rPr>
        <w:t>1</w:t>
      </w:r>
      <w:r w:rsidRPr="007A3E77">
        <w:rPr>
          <w:sz w:val="28"/>
          <w:szCs w:val="28"/>
        </w:rPr>
        <w:t xml:space="preserve">. Orienter et mettre en cohérence l’ensemble des différents programmes et plans en lien avec l’alimentation, comme le PNNS et le Programme de l’alimentation (PNA), mais aussi les politiques des autres ministères, dont ceux en charge de la Culture, de l’Économie, de l’Éducation, du Logement et des Solidarités. </w:t>
      </w:r>
    </w:p>
    <w:p w14:paraId="6B13989E" w14:textId="77777777" w:rsidR="00F00ADB" w:rsidRPr="007A3E77" w:rsidRDefault="00F00ADB">
      <w:pPr>
        <w:rPr>
          <w:sz w:val="28"/>
          <w:szCs w:val="28"/>
        </w:rPr>
      </w:pPr>
      <w:r w:rsidRPr="007A3E77">
        <w:rPr>
          <w:sz w:val="28"/>
          <w:szCs w:val="28"/>
        </w:rPr>
        <w:t>2. Établir une vision claire de système alimentaire durable et fixer des objectifs chiffrés et ambitieux d’évolution de la consommation et de la production à échéances précises (2030, 2040 et 2050), incluant l’évolution vers</w:t>
      </w:r>
      <w:proofErr w:type="gramStart"/>
      <w:r w:rsidRPr="007A3E77">
        <w:rPr>
          <w:sz w:val="28"/>
          <w:szCs w:val="28"/>
        </w:rPr>
        <w:t xml:space="preserve"> «moins</w:t>
      </w:r>
      <w:proofErr w:type="gramEnd"/>
      <w:r w:rsidRPr="007A3E77">
        <w:rPr>
          <w:sz w:val="28"/>
          <w:szCs w:val="28"/>
        </w:rPr>
        <w:t xml:space="preserve"> et mieux» de produits d’origine animale, en particulier de viande, plus d’aliments végétaux de qualité et une consommation accrue de produits biologiques cultivés en France. </w:t>
      </w:r>
    </w:p>
    <w:p w14:paraId="5943A7C3" w14:textId="77777777" w:rsidR="00F00ADB" w:rsidRPr="007A3E77" w:rsidRDefault="00F00ADB">
      <w:pPr>
        <w:rPr>
          <w:sz w:val="28"/>
          <w:szCs w:val="28"/>
        </w:rPr>
      </w:pPr>
      <w:r w:rsidRPr="007A3E77">
        <w:rPr>
          <w:sz w:val="28"/>
          <w:szCs w:val="28"/>
        </w:rPr>
        <w:t>3. Allouer des moyens financiers et institutionnels suffisants pour atteindre ces objectifs et établir des indicateurs d’évaluation et de suivi transparents, en associant notamment la société civile, les agriculteurs et les agricultrices.</w:t>
      </w:r>
    </w:p>
    <w:p w14:paraId="5B8716BB" w14:textId="77777777" w:rsidR="00F00ADB" w:rsidRPr="007A3E77" w:rsidRDefault="00F00ADB">
      <w:pPr>
        <w:rPr>
          <w:sz w:val="28"/>
          <w:szCs w:val="28"/>
        </w:rPr>
      </w:pPr>
      <w:r w:rsidRPr="007A3E77">
        <w:rPr>
          <w:sz w:val="28"/>
          <w:szCs w:val="28"/>
        </w:rPr>
        <w:t xml:space="preserve"> 4. Traiter de façon coordonnée et cohérente l’évolution de la demande alimentaire et des systèmes agricoles et alimentaires sur les territoires.</w:t>
      </w:r>
    </w:p>
    <w:p w14:paraId="10C9F44C" w14:textId="77777777" w:rsidR="00F00ADB" w:rsidRPr="007A3E77" w:rsidRDefault="00F00ADB">
      <w:pPr>
        <w:rPr>
          <w:sz w:val="28"/>
          <w:szCs w:val="28"/>
        </w:rPr>
      </w:pPr>
      <w:r w:rsidRPr="007A3E77">
        <w:rPr>
          <w:sz w:val="28"/>
          <w:szCs w:val="28"/>
        </w:rPr>
        <w:t xml:space="preserve"> 5. Assurer l’accompagnement des agriculteurs et des agricultrices dans la transition vers des systèmes agroécologiques et des élevages durables.</w:t>
      </w:r>
    </w:p>
    <w:p w14:paraId="5B171F58" w14:textId="77777777" w:rsidR="00F00ADB" w:rsidRPr="007A3E77" w:rsidRDefault="00F00ADB">
      <w:pPr>
        <w:rPr>
          <w:sz w:val="28"/>
          <w:szCs w:val="28"/>
        </w:rPr>
      </w:pPr>
      <w:r w:rsidRPr="007A3E77">
        <w:rPr>
          <w:sz w:val="28"/>
          <w:szCs w:val="28"/>
        </w:rPr>
        <w:t xml:space="preserve"> 6. Favoriser l’accès digne de toutes et tous à une alimentation durable en améliorant la disponibilité et la qualité de l’offre alimentaire sur </w:t>
      </w:r>
      <w:r w:rsidRPr="007A3E77">
        <w:rPr>
          <w:sz w:val="28"/>
          <w:szCs w:val="28"/>
        </w:rPr>
        <w:lastRenderedPageBreak/>
        <w:t xml:space="preserve">l’ensemble des territoires et en garantissant un revenu minimal permettant de s’alimenter de façon saine et durable. </w:t>
      </w:r>
    </w:p>
    <w:p w14:paraId="63EEC2DB" w14:textId="3CE6E260" w:rsidR="00F00ADB" w:rsidRPr="007A3E77" w:rsidRDefault="00F00ADB">
      <w:pPr>
        <w:rPr>
          <w:sz w:val="28"/>
          <w:szCs w:val="28"/>
        </w:rPr>
      </w:pPr>
      <w:r w:rsidRPr="007A3E77">
        <w:rPr>
          <w:sz w:val="28"/>
          <w:szCs w:val="28"/>
        </w:rPr>
        <w:t>7. Mettre fin à la focalisation excessive des politiques publiques sur la responsabilité des consommateurs et affirmer la nécessité d’agir de façon plus concertée et stratégique sur la qualité de l’offre et de l’environnement alimentaire</w:t>
      </w:r>
      <w:r w:rsidRPr="007A3E77">
        <w:rPr>
          <w:sz w:val="28"/>
          <w:szCs w:val="28"/>
        </w:rPr>
        <w:t>.</w:t>
      </w:r>
    </w:p>
    <w:p w14:paraId="3D36C46D" w14:textId="77777777" w:rsidR="00F00ADB" w:rsidRPr="007A3E77" w:rsidRDefault="00F00ADB">
      <w:pPr>
        <w:rPr>
          <w:sz w:val="28"/>
          <w:szCs w:val="28"/>
        </w:rPr>
      </w:pPr>
      <w:r w:rsidRPr="007A3E77">
        <w:rPr>
          <w:sz w:val="28"/>
          <w:szCs w:val="28"/>
        </w:rPr>
        <w:t xml:space="preserve">8. Aller au-delà de l’autorégulation par les engagements volontaires des entreprises et mettre en place des mesures contraignantes, parmi lesquelles : </w:t>
      </w:r>
      <w:r w:rsidRPr="007A3E77">
        <w:rPr>
          <w:sz w:val="28"/>
          <w:szCs w:val="28"/>
        </w:rPr>
        <w:br/>
      </w:r>
      <w:r w:rsidRPr="007A3E77">
        <w:rPr>
          <w:sz w:val="28"/>
          <w:szCs w:val="28"/>
        </w:rPr>
        <w:t>• L’interdiction de la publicité et du marketing pour les produits dont la surconsommation est néfaste pour la santé humaine et pour l’équilibre et la santé des écosystèmes, sur tous les supports (physiques, audiovisuels, numériques).</w:t>
      </w:r>
      <w:r w:rsidRPr="007A3E77">
        <w:rPr>
          <w:sz w:val="28"/>
          <w:szCs w:val="28"/>
        </w:rPr>
        <w:br/>
      </w:r>
      <w:r w:rsidRPr="007A3E77">
        <w:rPr>
          <w:sz w:val="28"/>
          <w:szCs w:val="28"/>
        </w:rPr>
        <w:t xml:space="preserve"> • L’obligation de transparence sur la construction des prix de la part des industries agroalimentaires et des distributeurs et la limitation des marges sur les produits sains et durables, en particulier les produits labellisés biologiques.</w:t>
      </w:r>
      <w:r w:rsidRPr="007A3E77">
        <w:rPr>
          <w:sz w:val="28"/>
          <w:szCs w:val="28"/>
        </w:rPr>
        <w:br/>
      </w:r>
      <w:r w:rsidRPr="007A3E77">
        <w:rPr>
          <w:sz w:val="28"/>
          <w:szCs w:val="28"/>
        </w:rPr>
        <w:t xml:space="preserve"> • L’interdiction des additifs et contaminants controversés pour la santé, dont les additifs à base de nitrites et nitrates, en accord avec la littérature scientifique. </w:t>
      </w:r>
    </w:p>
    <w:p w14:paraId="025A68E7" w14:textId="77777777" w:rsidR="00F00ADB" w:rsidRPr="007A3E77" w:rsidRDefault="00F00ADB">
      <w:pPr>
        <w:rPr>
          <w:sz w:val="28"/>
          <w:szCs w:val="28"/>
        </w:rPr>
      </w:pPr>
      <w:r w:rsidRPr="007A3E77">
        <w:rPr>
          <w:sz w:val="28"/>
          <w:szCs w:val="28"/>
        </w:rPr>
        <w:t xml:space="preserve">9. Faire évoluer les repères alimentaires et les actions du PNNS pour concilier les enjeux de santé publique et de durabilité, dans la logique du Programme national nutrition santé climat proposé par la Convention citoyenne pour le climat. </w:t>
      </w:r>
    </w:p>
    <w:p w14:paraId="008741AA" w14:textId="17121E82" w:rsidR="00F00ADB" w:rsidRPr="007A3E77" w:rsidRDefault="00F00ADB">
      <w:pPr>
        <w:rPr>
          <w:sz w:val="28"/>
          <w:szCs w:val="28"/>
        </w:rPr>
      </w:pPr>
      <w:r w:rsidRPr="007A3E77">
        <w:rPr>
          <w:sz w:val="28"/>
          <w:szCs w:val="28"/>
        </w:rPr>
        <w:t xml:space="preserve">10. Renforcer la sensibilisation et l’éducation à l’alimentation saine et durable : </w:t>
      </w:r>
      <w:r w:rsidRPr="007A3E77">
        <w:rPr>
          <w:sz w:val="28"/>
          <w:szCs w:val="28"/>
        </w:rPr>
        <w:br/>
      </w:r>
      <w:r w:rsidRPr="007A3E77">
        <w:rPr>
          <w:sz w:val="28"/>
          <w:szCs w:val="28"/>
        </w:rPr>
        <w:t xml:space="preserve">• Amplifier les campagnes d’information et le déploiement des outils du PNNS, en augmentant les financements des ministères, de Santé publique France, des services déconcentrés de l’État, des collectivités territoriales et des associations. </w:t>
      </w:r>
      <w:r w:rsidRPr="007A3E77">
        <w:rPr>
          <w:sz w:val="28"/>
          <w:szCs w:val="28"/>
        </w:rPr>
        <w:br/>
      </w:r>
      <w:r w:rsidRPr="007A3E77">
        <w:rPr>
          <w:sz w:val="28"/>
          <w:szCs w:val="28"/>
        </w:rPr>
        <w:t xml:space="preserve">• Renforcer la place de l’alimentation saine et durable dans les cursus scolaires et la formation des professionnels de santé et du secteur agricole. </w:t>
      </w:r>
      <w:r w:rsidRPr="007A3E77">
        <w:rPr>
          <w:sz w:val="28"/>
          <w:szCs w:val="28"/>
        </w:rPr>
        <w:br/>
      </w:r>
      <w:r w:rsidRPr="007A3E77">
        <w:rPr>
          <w:sz w:val="28"/>
          <w:szCs w:val="28"/>
        </w:rPr>
        <w:t>• Fournir les outils et les moyens économiques aux établissements scolaires pour inculquer les repères du PNNS et sensibiliser à l’alimentation saine et durable</w:t>
      </w:r>
      <w:r w:rsidRPr="007A3E77">
        <w:rPr>
          <w:sz w:val="28"/>
          <w:szCs w:val="28"/>
        </w:rPr>
        <w:t>.</w:t>
      </w:r>
    </w:p>
    <w:p w14:paraId="44BDE915" w14:textId="77777777" w:rsidR="00F00ADB" w:rsidRPr="007A3E77" w:rsidRDefault="00F00ADB">
      <w:pPr>
        <w:rPr>
          <w:sz w:val="28"/>
          <w:szCs w:val="28"/>
        </w:rPr>
      </w:pPr>
      <w:r w:rsidRPr="007A3E77">
        <w:rPr>
          <w:sz w:val="28"/>
          <w:szCs w:val="28"/>
        </w:rPr>
        <w:t xml:space="preserve">11. Garantir une information claire sur la qualité nutritionnelle et les impacts environnementaux des produits alimentaires : </w:t>
      </w:r>
      <w:r w:rsidRPr="007A3E77">
        <w:rPr>
          <w:sz w:val="28"/>
          <w:szCs w:val="28"/>
        </w:rPr>
        <w:br/>
      </w:r>
      <w:r w:rsidRPr="007A3E77">
        <w:rPr>
          <w:sz w:val="28"/>
          <w:szCs w:val="28"/>
        </w:rPr>
        <w:lastRenderedPageBreak/>
        <w:t xml:space="preserve">• Soutenir le déploiement du Nutri-score et son obligation sur les emballages des produits alimentaires et sur toutes leurs publicités, à l’exception des produits distribués en vente directe (marché, magasin de producteurs, etc.). </w:t>
      </w:r>
      <w:r w:rsidRPr="007A3E77">
        <w:rPr>
          <w:sz w:val="28"/>
          <w:szCs w:val="28"/>
        </w:rPr>
        <w:br/>
      </w:r>
      <w:r w:rsidRPr="007A3E77">
        <w:rPr>
          <w:sz w:val="28"/>
          <w:szCs w:val="28"/>
        </w:rPr>
        <w:t xml:space="preserve">• Mettre en place et rendre obligatoire un étiquetage environnemental des produits alimentaires informant de leurs impacts écologiques (dont climat et biodiversité), de l’utilisation des pesticides et du mode d’élevage pour les produits d’origine animale. </w:t>
      </w:r>
    </w:p>
    <w:p w14:paraId="573C667E" w14:textId="77777777" w:rsidR="00F00ADB" w:rsidRPr="007A3E77" w:rsidRDefault="00F00ADB">
      <w:pPr>
        <w:rPr>
          <w:sz w:val="28"/>
          <w:szCs w:val="28"/>
        </w:rPr>
      </w:pPr>
      <w:r w:rsidRPr="007A3E77">
        <w:rPr>
          <w:sz w:val="28"/>
          <w:szCs w:val="28"/>
        </w:rPr>
        <w:t xml:space="preserve">12. Accompagner les acteurs de la restauration collective vers une offre de repas sains, durables et accessibles, principalement composés de produits biologiques et locaux et proposant quotidiennement des plats végétariens équilibrés, à travers un soutien économique accru, la formation du personnel de cuisine et la généralisation de dispositifs de tarification sociale en restauration scolaire et universitaire. </w:t>
      </w:r>
    </w:p>
    <w:p w14:paraId="2D2923FD" w14:textId="4334E676" w:rsidR="00F00ADB" w:rsidRPr="007A3E77" w:rsidRDefault="00F00ADB">
      <w:pPr>
        <w:rPr>
          <w:sz w:val="28"/>
          <w:szCs w:val="28"/>
        </w:rPr>
      </w:pPr>
      <w:r w:rsidRPr="007A3E77">
        <w:rPr>
          <w:sz w:val="28"/>
          <w:szCs w:val="28"/>
        </w:rPr>
        <w:t>13. Assurer la cohérence de la SNANC avec les objectifs de la stratégie européenne</w:t>
      </w:r>
      <w:proofErr w:type="gramStart"/>
      <w:r w:rsidRPr="007A3E77">
        <w:rPr>
          <w:sz w:val="28"/>
          <w:szCs w:val="28"/>
        </w:rPr>
        <w:t xml:space="preserve"> «De</w:t>
      </w:r>
      <w:proofErr w:type="gramEnd"/>
      <w:r w:rsidRPr="007A3E77">
        <w:rPr>
          <w:sz w:val="28"/>
          <w:szCs w:val="28"/>
        </w:rPr>
        <w:t> la ferme à la fourchette», en faire un document de référence pour structurer les positions de la France au niveau international, et développer des mesures miroirs en matière environnementale et sanitaire afin de remédier au différentiel de normes entre l’Union européenne et les pays tiers.</w:t>
      </w:r>
    </w:p>
    <w:p w14:paraId="5F7A0BEA" w14:textId="6828020C" w:rsidR="00F00ADB" w:rsidRPr="007A3E77" w:rsidRDefault="00F00ADB">
      <w:pPr>
        <w:rPr>
          <w:sz w:val="28"/>
          <w:szCs w:val="28"/>
        </w:rPr>
      </w:pPr>
    </w:p>
    <w:p w14:paraId="61E371BB" w14:textId="0B75389C" w:rsidR="00F00ADB" w:rsidRPr="007A3E77" w:rsidRDefault="00F00ADB">
      <w:pPr>
        <w:rPr>
          <w:sz w:val="28"/>
          <w:szCs w:val="28"/>
        </w:rPr>
      </w:pPr>
      <w:r w:rsidRPr="007A3E77">
        <w:rPr>
          <w:b/>
          <w:bCs/>
          <w:sz w:val="28"/>
          <w:szCs w:val="28"/>
        </w:rPr>
        <w:t>LISTE DES SIGNATAIRES</w:t>
      </w:r>
      <w:r w:rsidRPr="007A3E77">
        <w:rPr>
          <w:sz w:val="28"/>
          <w:szCs w:val="28"/>
        </w:rPr>
        <w:t xml:space="preserve"> Action contre la Faim ADEIC-ULCC (Association de Défense, d’Education et d’Information du Consommateur) Agir pour l’Environnement Alerte des Médecins sur Les Pesticides </w:t>
      </w:r>
      <w:proofErr w:type="spellStart"/>
      <w:r w:rsidRPr="007A3E77">
        <w:rPr>
          <w:sz w:val="28"/>
          <w:szCs w:val="28"/>
        </w:rPr>
        <w:t>Alim’Mater</w:t>
      </w:r>
      <w:proofErr w:type="spellEnd"/>
      <w:r w:rsidRPr="007A3E77">
        <w:rPr>
          <w:sz w:val="28"/>
          <w:szCs w:val="28"/>
        </w:rPr>
        <w:t xml:space="preserve"> Alliance Santé Planétaire Assiettes Végétales Association Santé Environnement France Bee </w:t>
      </w:r>
      <w:proofErr w:type="spellStart"/>
      <w:r w:rsidRPr="007A3E77">
        <w:rPr>
          <w:sz w:val="28"/>
          <w:szCs w:val="28"/>
        </w:rPr>
        <w:t>Friendly</w:t>
      </w:r>
      <w:proofErr w:type="spellEnd"/>
      <w:r w:rsidRPr="007A3E77">
        <w:rPr>
          <w:sz w:val="28"/>
          <w:szCs w:val="28"/>
        </w:rPr>
        <w:t xml:space="preserve"> </w:t>
      </w:r>
      <w:proofErr w:type="spellStart"/>
      <w:r w:rsidRPr="007A3E77">
        <w:rPr>
          <w:sz w:val="28"/>
          <w:szCs w:val="28"/>
        </w:rPr>
        <w:t>Bioconsom’acteurs</w:t>
      </w:r>
      <w:proofErr w:type="spellEnd"/>
      <w:r w:rsidRPr="007A3E77">
        <w:rPr>
          <w:sz w:val="28"/>
          <w:szCs w:val="28"/>
        </w:rPr>
        <w:t xml:space="preserve"> Bon pour le Climat Cantine sans Plastique CIWF France CLCV - Consommation, Logement, Cadre de Vie Collectif Je Suis Infirmière Puéricultrice Collectif Les Pieds dans le Plat Collectif National des Associations d’Obèses Confédération Syndicale des Familles Déclic Familles de France Fédération Addiction Fédération Française des Diabétiques Fédération Nationale d’Agriculture Biologique Fédération Nationale d’Éducation et de Promotion de la Santé Fondation pour la Nature et l’Homme </w:t>
      </w:r>
      <w:proofErr w:type="spellStart"/>
      <w:r w:rsidRPr="007A3E77">
        <w:rPr>
          <w:sz w:val="28"/>
          <w:szCs w:val="28"/>
        </w:rPr>
        <w:t>Foodwatch</w:t>
      </w:r>
      <w:proofErr w:type="spellEnd"/>
      <w:r w:rsidRPr="007A3E77">
        <w:rPr>
          <w:sz w:val="28"/>
          <w:szCs w:val="28"/>
        </w:rPr>
        <w:t xml:space="preserve"> France </w:t>
      </w:r>
      <w:proofErr w:type="spellStart"/>
      <w:r w:rsidRPr="007A3E77">
        <w:rPr>
          <w:sz w:val="28"/>
          <w:szCs w:val="28"/>
        </w:rPr>
        <w:t>France</w:t>
      </w:r>
      <w:proofErr w:type="spellEnd"/>
      <w:r w:rsidRPr="007A3E77">
        <w:rPr>
          <w:sz w:val="28"/>
          <w:szCs w:val="28"/>
        </w:rPr>
        <w:t xml:space="preserve"> Nature Environnement Générations Futures Greenpeace France Humanité et Biodiversité Jeunes Médecins Les Amis de la Terre Ligue contre le cancer Ligue contre l’Obésité Mouvement inter-régional des AMAP Noé Observatoire National des Alimentations Végétales Oxfam France Pour un réveil </w:t>
      </w:r>
      <w:r w:rsidRPr="007A3E77">
        <w:rPr>
          <w:sz w:val="28"/>
          <w:szCs w:val="28"/>
        </w:rPr>
        <w:lastRenderedPageBreak/>
        <w:t xml:space="preserve">écologique Réseau Action Climat Réseau CIVAM Réseau Environnement Santé Réseau Étudiant pour une Société Écologique et Solidaire (RESES) Résistance à l’Agression Publicitaire Société Française de Nutrition Société Française de Santé Publique Société Française du Cancer Société Francophone de Santé et Environnement SOL - Alternatives Agroécologiques et Solidaires Terre et Humanisme Union Nationale des Associations Familiales VRAC France WECF France WWF </w:t>
      </w:r>
      <w:r w:rsidR="00447FCC" w:rsidRPr="007A3E77">
        <w:rPr>
          <w:sz w:val="28"/>
          <w:szCs w:val="28"/>
        </w:rPr>
        <w:t>France.</w:t>
      </w:r>
    </w:p>
    <w:p w14:paraId="2B0960C3" w14:textId="21D1D323" w:rsidR="00447FCC" w:rsidRPr="007A3E77" w:rsidRDefault="00447FCC">
      <w:pPr>
        <w:rPr>
          <w:sz w:val="28"/>
          <w:szCs w:val="28"/>
        </w:rPr>
      </w:pPr>
      <w:r w:rsidRPr="007A3E77">
        <w:rPr>
          <w:sz w:val="28"/>
          <w:szCs w:val="28"/>
        </w:rPr>
        <w:br w:type="page"/>
      </w:r>
    </w:p>
    <w:p w14:paraId="128C531A" w14:textId="77777777" w:rsidR="00447FCC" w:rsidRPr="007A3E77" w:rsidRDefault="00447FCC" w:rsidP="00447FCC">
      <w:pPr>
        <w:pStyle w:val="NormalWeb"/>
        <w:spacing w:before="0" w:beforeAutospacing="0" w:after="240" w:afterAutospacing="0"/>
        <w:jc w:val="center"/>
        <w:rPr>
          <w:rFonts w:ascii="Georgia" w:hAnsi="Georgia"/>
        </w:rPr>
      </w:pPr>
      <w:r w:rsidRPr="007A3E77">
        <w:rPr>
          <w:rFonts w:ascii="Georgia" w:hAnsi="Georgia"/>
          <w:b/>
          <w:bCs/>
          <w:color w:val="000000"/>
          <w:sz w:val="32"/>
          <w:szCs w:val="32"/>
          <w:shd w:val="clear" w:color="auto" w:fill="FFFF00"/>
        </w:rPr>
        <w:lastRenderedPageBreak/>
        <w:t>Environnement, inégalités, santé : quelle stratégie pour les politiques alimentaires ?</w:t>
      </w:r>
    </w:p>
    <w:p w14:paraId="55F839F6" w14:textId="2598A6D1" w:rsidR="00447FCC" w:rsidRPr="007A3E77" w:rsidRDefault="00447FCC" w:rsidP="00447FCC">
      <w:pPr>
        <w:pStyle w:val="NormalWeb"/>
        <w:spacing w:before="280" w:beforeAutospacing="0" w:after="200" w:afterAutospacing="0"/>
        <w:rPr>
          <w:rFonts w:ascii="Georgia" w:hAnsi="Georgia"/>
        </w:rPr>
      </w:pPr>
      <w:r w:rsidRPr="007A3E77">
        <w:rPr>
          <w:rFonts w:ascii="Georgia" w:hAnsi="Georgia"/>
          <w:b/>
          <w:bCs/>
          <w:color w:val="000000"/>
          <w:sz w:val="28"/>
          <w:szCs w:val="28"/>
          <w:highlight w:val="yellow"/>
        </w:rPr>
        <w:t>IDDRI</w:t>
      </w:r>
      <w:r w:rsidRPr="007A3E77">
        <w:rPr>
          <w:rFonts w:ascii="Georgia" w:hAnsi="Georgia"/>
          <w:color w:val="000000"/>
        </w:rPr>
        <w:t xml:space="preserve"> – avril 2023</w:t>
      </w:r>
    </w:p>
    <w:p w14:paraId="7D107458" w14:textId="77777777" w:rsidR="00447FCC" w:rsidRPr="007A3E77" w:rsidRDefault="00447FCC" w:rsidP="00447FCC">
      <w:pPr>
        <w:pStyle w:val="NormalWeb"/>
        <w:spacing w:before="0" w:beforeAutospacing="0" w:after="300" w:afterAutospacing="0"/>
        <w:rPr>
          <w:rFonts w:ascii="Georgia" w:hAnsi="Georgia"/>
          <w:sz w:val="28"/>
          <w:szCs w:val="28"/>
        </w:rPr>
      </w:pPr>
      <w:r w:rsidRPr="007A3E77">
        <w:rPr>
          <w:rFonts w:ascii="Georgia" w:hAnsi="Georgia"/>
          <w:color w:val="2D2D2D"/>
          <w:sz w:val="28"/>
          <w:szCs w:val="28"/>
        </w:rPr>
        <w:t>Cette </w:t>
      </w:r>
      <w:r w:rsidRPr="007A3E77">
        <w:rPr>
          <w:rFonts w:ascii="Georgia" w:hAnsi="Georgia"/>
          <w:i/>
          <w:iCs/>
          <w:color w:val="2D2D2D"/>
          <w:sz w:val="28"/>
          <w:szCs w:val="28"/>
        </w:rPr>
        <w:t>Étude</w:t>
      </w:r>
      <w:r w:rsidRPr="007A3E77">
        <w:rPr>
          <w:rFonts w:ascii="Georgia" w:hAnsi="Georgia"/>
          <w:color w:val="2D2D2D"/>
          <w:sz w:val="28"/>
          <w:szCs w:val="28"/>
        </w:rPr>
        <w:t xml:space="preserve"> présente un diagnostic du décalage entre l’ampleur des enjeux et des préoccupations citoyennes autour de l’alimentation et l’ambition des politiques publiques de l’alimentation, par un panorama des politiques publiques d’alimentation durable, saine et accessible à tous. Sur cette base, sont formulées des propositions concrètes sur la forme et le contenu d’une Stratégie nationale pour l’alimentation, la nutrition et le climat (SNANC) suffisamment ambitieuse pour assurer la mise en </w:t>
      </w:r>
      <w:proofErr w:type="spellStart"/>
      <w:r w:rsidRPr="007A3E77">
        <w:rPr>
          <w:rFonts w:ascii="Georgia" w:hAnsi="Georgia"/>
          <w:color w:val="2D2D2D"/>
          <w:sz w:val="28"/>
          <w:szCs w:val="28"/>
        </w:rPr>
        <w:t>oeuvre</w:t>
      </w:r>
      <w:proofErr w:type="spellEnd"/>
      <w:r w:rsidRPr="007A3E77">
        <w:rPr>
          <w:rFonts w:ascii="Georgia" w:hAnsi="Georgia"/>
          <w:color w:val="2D2D2D"/>
          <w:sz w:val="28"/>
          <w:szCs w:val="28"/>
        </w:rPr>
        <w:t xml:space="preserve"> de la transition alimentaire.</w:t>
      </w:r>
    </w:p>
    <w:p w14:paraId="7B4C44CF" w14:textId="77777777" w:rsidR="00447FCC" w:rsidRPr="007A3E77" w:rsidRDefault="00447FCC" w:rsidP="00447FCC">
      <w:pPr>
        <w:pStyle w:val="NormalWeb"/>
        <w:spacing w:before="0" w:beforeAutospacing="0" w:after="240" w:afterAutospacing="0"/>
        <w:rPr>
          <w:rFonts w:ascii="Georgia" w:hAnsi="Georgia"/>
          <w:sz w:val="28"/>
          <w:szCs w:val="28"/>
        </w:rPr>
      </w:pPr>
      <w:r w:rsidRPr="007A3E77">
        <w:rPr>
          <w:rFonts w:ascii="Georgia" w:hAnsi="Georgia"/>
          <w:b/>
          <w:bCs/>
          <w:color w:val="000000"/>
          <w:sz w:val="28"/>
          <w:szCs w:val="28"/>
        </w:rPr>
        <w:t>Messages clés</w:t>
      </w:r>
    </w:p>
    <w:p w14:paraId="37F8A852" w14:textId="77777777" w:rsidR="00447FCC" w:rsidRPr="007A3E77" w:rsidRDefault="00447FCC" w:rsidP="00447FCC">
      <w:pPr>
        <w:pStyle w:val="NormalWeb"/>
        <w:numPr>
          <w:ilvl w:val="0"/>
          <w:numId w:val="1"/>
        </w:numPr>
        <w:spacing w:before="280" w:beforeAutospacing="0" w:after="0" w:afterAutospacing="0"/>
        <w:ind w:left="0"/>
        <w:textAlignment w:val="baseline"/>
        <w:rPr>
          <w:rFonts w:ascii="Georgia" w:hAnsi="Georgia" w:cs="Arial"/>
          <w:color w:val="2D2D2D"/>
          <w:sz w:val="22"/>
          <w:szCs w:val="22"/>
        </w:rPr>
      </w:pPr>
      <w:r w:rsidRPr="007A3E77">
        <w:rPr>
          <w:rFonts w:ascii="Georgia" w:hAnsi="Georgia" w:cs="Arial"/>
          <w:color w:val="2D2D2D"/>
          <w:sz w:val="28"/>
          <w:szCs w:val="28"/>
        </w:rPr>
        <w:t>Le concept d’environnement alimentaire, compris comme les conditions physiques, économiques, socio-culturelles et cognitives de nos pratiques alimentaires, est un outil pertinent pour analyser les pratiques existantes, ce qui les contraint, et pour penser une stratégie de transition alimentaire.</w:t>
      </w:r>
      <w:r w:rsidRPr="007A3E77">
        <w:rPr>
          <w:rFonts w:ascii="Georgia" w:hAnsi="Georgia" w:cs="Arial"/>
          <w:color w:val="2D2D2D"/>
          <w:sz w:val="28"/>
          <w:szCs w:val="28"/>
        </w:rPr>
        <w:br/>
        <w:t> </w:t>
      </w:r>
    </w:p>
    <w:p w14:paraId="595E13A6" w14:textId="77777777" w:rsidR="00447FCC" w:rsidRPr="007A3E77" w:rsidRDefault="00447FCC" w:rsidP="00447FCC">
      <w:pPr>
        <w:pStyle w:val="NormalWeb"/>
        <w:numPr>
          <w:ilvl w:val="0"/>
          <w:numId w:val="1"/>
        </w:numPr>
        <w:spacing w:before="0" w:beforeAutospacing="0" w:after="0" w:afterAutospacing="0"/>
        <w:ind w:left="0"/>
        <w:textAlignment w:val="baseline"/>
        <w:rPr>
          <w:rFonts w:ascii="Georgia" w:hAnsi="Georgia" w:cs="Arial"/>
          <w:color w:val="2D2D2D"/>
          <w:sz w:val="22"/>
          <w:szCs w:val="22"/>
        </w:rPr>
      </w:pPr>
      <w:r w:rsidRPr="007A3E77">
        <w:rPr>
          <w:rFonts w:ascii="Georgia" w:hAnsi="Georgia" w:cs="Arial"/>
          <w:color w:val="2D2D2D"/>
          <w:sz w:val="28"/>
          <w:szCs w:val="28"/>
        </w:rPr>
        <w:t>Notre panorama des politiques pour une alimentation saine, durable et accessible s’appuie sur cette grille d’analyse pour évaluer une cinquantaine de mesures existantes. En ressort un décalage entre l’importance des enjeux alimentaires et l’ambition des politiques publiques : l’action n’est aujourd’hui pas à la hauteur des défis de la transition.</w:t>
      </w:r>
      <w:r w:rsidRPr="007A3E77">
        <w:rPr>
          <w:rFonts w:ascii="Georgia" w:hAnsi="Georgia" w:cs="Arial"/>
          <w:color w:val="2D2D2D"/>
          <w:sz w:val="28"/>
          <w:szCs w:val="28"/>
        </w:rPr>
        <w:br/>
        <w:t> </w:t>
      </w:r>
    </w:p>
    <w:p w14:paraId="0924BA8C" w14:textId="77777777" w:rsidR="00447FCC" w:rsidRPr="007A3E77" w:rsidRDefault="00447FCC" w:rsidP="00447FCC">
      <w:pPr>
        <w:pStyle w:val="NormalWeb"/>
        <w:numPr>
          <w:ilvl w:val="0"/>
          <w:numId w:val="1"/>
        </w:numPr>
        <w:spacing w:before="0" w:beforeAutospacing="0" w:after="0" w:afterAutospacing="0"/>
        <w:ind w:left="0"/>
        <w:textAlignment w:val="baseline"/>
        <w:rPr>
          <w:rFonts w:ascii="Georgia" w:hAnsi="Georgia" w:cs="Arial"/>
          <w:color w:val="2D2D2D"/>
          <w:sz w:val="22"/>
          <w:szCs w:val="22"/>
        </w:rPr>
      </w:pPr>
      <w:r w:rsidRPr="007A3E77">
        <w:rPr>
          <w:rFonts w:ascii="Georgia" w:hAnsi="Georgia" w:cs="Arial"/>
          <w:color w:val="2D2D2D"/>
          <w:sz w:val="28"/>
          <w:szCs w:val="28"/>
        </w:rPr>
        <w:t xml:space="preserve">Ainsi, d’importantes marges de progression existent pour améliorer la mise en </w:t>
      </w:r>
      <w:proofErr w:type="spellStart"/>
      <w:r w:rsidRPr="007A3E77">
        <w:rPr>
          <w:rFonts w:ascii="Georgia" w:hAnsi="Georgia" w:cs="Arial"/>
          <w:color w:val="2D2D2D"/>
          <w:sz w:val="28"/>
          <w:szCs w:val="28"/>
        </w:rPr>
        <w:t>oeuvre</w:t>
      </w:r>
      <w:proofErr w:type="spellEnd"/>
      <w:r w:rsidRPr="007A3E77">
        <w:rPr>
          <w:rFonts w:ascii="Georgia" w:hAnsi="Georgia" w:cs="Arial"/>
          <w:color w:val="2D2D2D"/>
          <w:sz w:val="28"/>
          <w:szCs w:val="28"/>
        </w:rPr>
        <w:t xml:space="preserve"> des politiques existantes et mobiliser des outils plus transformateurs. La philosophie de l’action publique doit également évoluer : l’approche par la responsabilité individuelle du « consommateur-citoyen » est insuffisante, voire contreproductive. La nouvelle logique d’action devra la dépasser pour agir en priorité sur l’environnement alimentaire.</w:t>
      </w:r>
      <w:r w:rsidRPr="007A3E77">
        <w:rPr>
          <w:rFonts w:ascii="Georgia" w:hAnsi="Georgia" w:cs="Arial"/>
          <w:color w:val="2D2D2D"/>
          <w:sz w:val="28"/>
          <w:szCs w:val="28"/>
        </w:rPr>
        <w:br/>
        <w:t> </w:t>
      </w:r>
    </w:p>
    <w:p w14:paraId="61154E45" w14:textId="77777777" w:rsidR="00447FCC" w:rsidRPr="007A3E77" w:rsidRDefault="00447FCC" w:rsidP="00447FCC">
      <w:pPr>
        <w:pStyle w:val="NormalWeb"/>
        <w:numPr>
          <w:ilvl w:val="0"/>
          <w:numId w:val="1"/>
        </w:numPr>
        <w:spacing w:before="0" w:beforeAutospacing="0" w:after="0" w:afterAutospacing="0"/>
        <w:ind w:left="0"/>
        <w:textAlignment w:val="baseline"/>
        <w:rPr>
          <w:rFonts w:ascii="Georgia" w:hAnsi="Georgia" w:cs="Arial"/>
          <w:color w:val="2D2D2D"/>
          <w:sz w:val="22"/>
          <w:szCs w:val="22"/>
        </w:rPr>
      </w:pPr>
      <w:r w:rsidRPr="007A3E77">
        <w:rPr>
          <w:rFonts w:ascii="Georgia" w:hAnsi="Georgia" w:cs="Arial"/>
          <w:color w:val="2D2D2D"/>
          <w:sz w:val="28"/>
          <w:szCs w:val="28"/>
        </w:rPr>
        <w:t>Agir sur les environnements alimentaires, en encadrant plus fortement les stratégies des acteurs privés et tenant compte de la diversité des pratiques alimentaires, permet de restaurer la liberté des consommateurs.</w:t>
      </w:r>
      <w:r w:rsidRPr="007A3E77">
        <w:rPr>
          <w:rFonts w:ascii="Georgia" w:hAnsi="Georgia" w:cs="Arial"/>
          <w:color w:val="2D2D2D"/>
          <w:sz w:val="28"/>
          <w:szCs w:val="28"/>
        </w:rPr>
        <w:br/>
        <w:t> </w:t>
      </w:r>
    </w:p>
    <w:p w14:paraId="09689CDD" w14:textId="77777777" w:rsidR="00447FCC" w:rsidRPr="007A3E77" w:rsidRDefault="00447FCC" w:rsidP="00447FCC">
      <w:pPr>
        <w:pStyle w:val="NormalWeb"/>
        <w:numPr>
          <w:ilvl w:val="0"/>
          <w:numId w:val="1"/>
        </w:numPr>
        <w:spacing w:before="0" w:beforeAutospacing="0" w:after="0" w:afterAutospacing="0"/>
        <w:ind w:left="0"/>
        <w:textAlignment w:val="baseline"/>
        <w:rPr>
          <w:rFonts w:ascii="Georgia" w:hAnsi="Georgia" w:cs="Arial"/>
          <w:color w:val="2D2D2D"/>
          <w:sz w:val="22"/>
          <w:szCs w:val="22"/>
        </w:rPr>
      </w:pPr>
      <w:r w:rsidRPr="007A3E77">
        <w:rPr>
          <w:rFonts w:ascii="Georgia" w:hAnsi="Georgia" w:cs="Arial"/>
          <w:color w:val="2D2D2D"/>
          <w:sz w:val="28"/>
          <w:szCs w:val="28"/>
        </w:rPr>
        <w:t xml:space="preserve">Nous proposons 12 mesures clés comme illustration d’un ensemble cohérent et ambitieux d’actions publiques sur les quatre facettes de </w:t>
      </w:r>
      <w:r w:rsidRPr="007A3E77">
        <w:rPr>
          <w:rFonts w:ascii="Georgia" w:hAnsi="Georgia" w:cs="Arial"/>
          <w:color w:val="2D2D2D"/>
          <w:sz w:val="28"/>
          <w:szCs w:val="28"/>
        </w:rPr>
        <w:lastRenderedPageBreak/>
        <w:t xml:space="preserve">l’environnement alimentaire. Et nous formulons des recommandations portant sur la gouvernance, le portage politique et les modalités de mise en </w:t>
      </w:r>
      <w:proofErr w:type="spellStart"/>
      <w:r w:rsidRPr="007A3E77">
        <w:rPr>
          <w:rFonts w:ascii="Georgia" w:hAnsi="Georgia" w:cs="Arial"/>
          <w:color w:val="2D2D2D"/>
          <w:sz w:val="28"/>
          <w:szCs w:val="28"/>
        </w:rPr>
        <w:t>oeuvre</w:t>
      </w:r>
      <w:proofErr w:type="spellEnd"/>
      <w:r w:rsidRPr="007A3E77">
        <w:rPr>
          <w:rFonts w:ascii="Georgia" w:hAnsi="Georgia" w:cs="Arial"/>
          <w:color w:val="2D2D2D"/>
          <w:sz w:val="28"/>
          <w:szCs w:val="28"/>
        </w:rPr>
        <w:t xml:space="preserve"> de la stratégie.</w:t>
      </w:r>
      <w:r w:rsidRPr="007A3E77">
        <w:rPr>
          <w:rFonts w:ascii="Georgia" w:hAnsi="Georgia" w:cs="Arial"/>
          <w:color w:val="2D2D2D"/>
          <w:sz w:val="28"/>
          <w:szCs w:val="28"/>
        </w:rPr>
        <w:br/>
        <w:t> </w:t>
      </w:r>
    </w:p>
    <w:p w14:paraId="0D567E10" w14:textId="77777777" w:rsidR="00447FCC" w:rsidRPr="007A3E77" w:rsidRDefault="00447FCC" w:rsidP="00447FCC">
      <w:pPr>
        <w:pStyle w:val="NormalWeb"/>
        <w:numPr>
          <w:ilvl w:val="0"/>
          <w:numId w:val="1"/>
        </w:numPr>
        <w:spacing w:before="0" w:beforeAutospacing="0" w:after="0" w:afterAutospacing="0"/>
        <w:ind w:left="0"/>
        <w:textAlignment w:val="baseline"/>
        <w:rPr>
          <w:rFonts w:ascii="Georgia" w:hAnsi="Georgia" w:cs="Arial"/>
          <w:color w:val="2D2D2D"/>
          <w:sz w:val="22"/>
          <w:szCs w:val="22"/>
        </w:rPr>
      </w:pPr>
      <w:r w:rsidRPr="007A3E77">
        <w:rPr>
          <w:rFonts w:ascii="Georgia" w:hAnsi="Georgia" w:cs="Arial"/>
          <w:color w:val="2D2D2D"/>
          <w:sz w:val="28"/>
          <w:szCs w:val="28"/>
        </w:rPr>
        <w:t>La légitimité et l’efficacité de l’action publique dépendront aussi de sa capacité à inclure l’ensemble des citoyens au projet de transition. Ceci à deux conditions : mettre les enjeux sociaux au centre, et renforcer son caractère démocratique.</w:t>
      </w:r>
      <w:r w:rsidRPr="007A3E77">
        <w:rPr>
          <w:rFonts w:ascii="Georgia" w:hAnsi="Georgia" w:cs="Arial"/>
          <w:color w:val="2D2D2D"/>
          <w:sz w:val="28"/>
          <w:szCs w:val="28"/>
        </w:rPr>
        <w:br/>
        <w:t> </w:t>
      </w:r>
    </w:p>
    <w:p w14:paraId="4A2EF2FE" w14:textId="6A12F976" w:rsidR="00447FCC" w:rsidRPr="007A3E77" w:rsidRDefault="00447FCC" w:rsidP="00447FCC">
      <w:pPr>
        <w:pStyle w:val="NormalWeb"/>
        <w:numPr>
          <w:ilvl w:val="0"/>
          <w:numId w:val="1"/>
        </w:numPr>
        <w:spacing w:before="0" w:beforeAutospacing="0" w:after="280" w:afterAutospacing="0"/>
        <w:ind w:left="0"/>
        <w:textAlignment w:val="baseline"/>
        <w:rPr>
          <w:rFonts w:ascii="Georgia" w:hAnsi="Georgia" w:cs="Arial"/>
          <w:color w:val="000000"/>
          <w:sz w:val="28"/>
          <w:szCs w:val="28"/>
        </w:rPr>
      </w:pPr>
      <w:r w:rsidRPr="007A3E77">
        <w:rPr>
          <w:rFonts w:ascii="Georgia" w:hAnsi="Georgia" w:cs="Arial"/>
          <w:color w:val="2D2D2D"/>
          <w:sz w:val="28"/>
          <w:szCs w:val="28"/>
        </w:rPr>
        <w:t xml:space="preserve">Forte de ses expériences pionnières (Nutri-Score, affichage environnemental, restauration collective), la France doit considérer la Stratégie nationale pour l’alimentation, la nutrition et le climat (SNANC) comme l’opportunité de renforcer son leadership sur la scène européenne, à un moment charnière de mise en </w:t>
      </w:r>
      <w:proofErr w:type="spellStart"/>
      <w:r w:rsidRPr="007A3E77">
        <w:rPr>
          <w:rFonts w:ascii="Georgia" w:hAnsi="Georgia" w:cs="Arial"/>
          <w:color w:val="2D2D2D"/>
          <w:sz w:val="28"/>
          <w:szCs w:val="28"/>
        </w:rPr>
        <w:t>oeuvre</w:t>
      </w:r>
      <w:proofErr w:type="spellEnd"/>
      <w:r w:rsidRPr="007A3E77">
        <w:rPr>
          <w:rFonts w:ascii="Georgia" w:hAnsi="Georgia" w:cs="Arial"/>
          <w:color w:val="2D2D2D"/>
          <w:sz w:val="28"/>
          <w:szCs w:val="28"/>
        </w:rPr>
        <w:t xml:space="preserve"> du volet alimentation de la stratégie « De la fourche à la fourchette ».</w:t>
      </w:r>
      <w:r w:rsidRPr="007A3E77">
        <w:rPr>
          <w:rFonts w:ascii="Georgia" w:hAnsi="Georgia" w:cs="Arial"/>
          <w:color w:val="000000"/>
          <w:sz w:val="28"/>
          <w:szCs w:val="28"/>
        </w:rPr>
        <w:t> </w:t>
      </w:r>
    </w:p>
    <w:p w14:paraId="74F925CA" w14:textId="77777777" w:rsidR="00447FCC" w:rsidRPr="007A3E77" w:rsidRDefault="00447FCC">
      <w:pPr>
        <w:rPr>
          <w:rFonts w:eastAsia="Times New Roman" w:cs="Arial"/>
          <w:color w:val="000000"/>
          <w:szCs w:val="24"/>
          <w:lang w:eastAsia="fr-FR"/>
        </w:rPr>
      </w:pPr>
      <w:r w:rsidRPr="007A3E77">
        <w:rPr>
          <w:rFonts w:cs="Arial"/>
          <w:color w:val="000000"/>
        </w:rPr>
        <w:br w:type="page"/>
      </w:r>
    </w:p>
    <w:p w14:paraId="1F0CC89B" w14:textId="77777777" w:rsidR="00447FCC" w:rsidRPr="007A3E77" w:rsidRDefault="00447FCC" w:rsidP="00447FCC">
      <w:pPr>
        <w:spacing w:after="0" w:line="240" w:lineRule="auto"/>
        <w:ind w:left="360"/>
        <w:rPr>
          <w:rFonts w:eastAsia="Times New Roman" w:cs="Times New Roman"/>
          <w:sz w:val="28"/>
          <w:szCs w:val="28"/>
          <w:lang w:eastAsia="fr-FR"/>
        </w:rPr>
      </w:pPr>
      <w:r w:rsidRPr="007A3E77">
        <w:rPr>
          <w:rFonts w:eastAsia="Times New Roman" w:cs="Times New Roman"/>
          <w:color w:val="000000"/>
          <w:sz w:val="28"/>
          <w:szCs w:val="28"/>
          <w:lang w:eastAsia="fr-FR"/>
        </w:rPr>
        <w:lastRenderedPageBreak/>
        <w:t>Lundi 24/04/2023</w:t>
      </w:r>
    </w:p>
    <w:p w14:paraId="487897BB" w14:textId="77777777" w:rsidR="00447FCC" w:rsidRPr="007A3E77" w:rsidRDefault="00447FCC" w:rsidP="00447FCC">
      <w:pPr>
        <w:spacing w:after="0" w:line="240" w:lineRule="auto"/>
        <w:ind w:left="360"/>
        <w:rPr>
          <w:rFonts w:eastAsia="Times New Roman" w:cs="Times New Roman"/>
          <w:sz w:val="28"/>
          <w:szCs w:val="28"/>
          <w:lang w:eastAsia="fr-FR"/>
        </w:rPr>
      </w:pPr>
      <w:hyperlink r:id="rId7" w:history="1">
        <w:r w:rsidRPr="007A3E77">
          <w:rPr>
            <w:rFonts w:eastAsia="Times New Roman" w:cs="Times New Roman"/>
            <w:color w:val="2D3049"/>
            <w:sz w:val="28"/>
            <w:szCs w:val="28"/>
            <w:u w:val="single"/>
            <w:lang w:eastAsia="fr-FR"/>
          </w:rPr>
          <w:t xml:space="preserve">Publié par </w:t>
        </w:r>
        <w:proofErr w:type="spellStart"/>
        <w:r w:rsidRPr="007A3E77">
          <w:rPr>
            <w:rFonts w:eastAsia="Times New Roman" w:cs="Times New Roman"/>
            <w:color w:val="2D3049"/>
            <w:sz w:val="28"/>
            <w:szCs w:val="28"/>
            <w:u w:val="single"/>
            <w:lang w:eastAsia="fr-FR"/>
          </w:rPr>
          <w:t>Pleinchamp</w:t>
        </w:r>
        <w:proofErr w:type="spellEnd"/>
      </w:hyperlink>
    </w:p>
    <w:p w14:paraId="5561CE54" w14:textId="77777777" w:rsidR="00447FCC" w:rsidRPr="007A3E77" w:rsidRDefault="00447FCC" w:rsidP="00447FCC">
      <w:pPr>
        <w:spacing w:after="0" w:line="240" w:lineRule="auto"/>
        <w:ind w:left="360"/>
        <w:rPr>
          <w:rFonts w:eastAsia="Times New Roman" w:cs="Times New Roman"/>
          <w:sz w:val="28"/>
          <w:szCs w:val="28"/>
          <w:lang w:eastAsia="fr-FR"/>
        </w:rPr>
      </w:pPr>
    </w:p>
    <w:p w14:paraId="24354DD9" w14:textId="47DE5449" w:rsidR="00447FCC" w:rsidRPr="007A3E77" w:rsidRDefault="00447FCC" w:rsidP="00447FCC">
      <w:pPr>
        <w:spacing w:after="432" w:line="240" w:lineRule="auto"/>
        <w:ind w:left="360"/>
        <w:rPr>
          <w:rFonts w:eastAsia="Times New Roman" w:cs="Times New Roman"/>
          <w:sz w:val="28"/>
          <w:szCs w:val="28"/>
          <w:lang w:eastAsia="fr-FR"/>
        </w:rPr>
      </w:pPr>
      <w:r w:rsidRPr="007A3E77">
        <w:rPr>
          <w:rFonts w:eastAsia="Times New Roman" w:cs="Times New Roman"/>
          <w:b/>
          <w:bCs/>
          <w:color w:val="2D3049"/>
          <w:sz w:val="28"/>
          <w:szCs w:val="28"/>
          <w:shd w:val="clear" w:color="auto" w:fill="FFFF00"/>
          <w:lang w:eastAsia="fr-FR"/>
        </w:rPr>
        <w:t>Stratégie alimentation et climat : les réserves de la profession</w:t>
      </w:r>
      <w:r w:rsidRPr="007A3E77">
        <w:rPr>
          <w:rFonts w:eastAsia="Times New Roman" w:cs="Times New Roman"/>
          <w:b/>
          <w:bCs/>
          <w:color w:val="2D3049"/>
          <w:sz w:val="28"/>
          <w:szCs w:val="28"/>
          <w:shd w:val="clear" w:color="auto" w:fill="FFFF00"/>
          <w:lang w:eastAsia="fr-FR"/>
        </w:rPr>
        <w:t xml:space="preserve"> FNSEA</w:t>
      </w:r>
    </w:p>
    <w:p w14:paraId="71005663" w14:textId="77777777" w:rsidR="00447FCC" w:rsidRPr="007A3E77" w:rsidRDefault="00447FCC" w:rsidP="00447FCC">
      <w:pPr>
        <w:spacing w:after="576" w:line="240" w:lineRule="auto"/>
        <w:ind w:left="360"/>
        <w:rPr>
          <w:rFonts w:eastAsia="Times New Roman" w:cs="Times New Roman"/>
          <w:sz w:val="28"/>
          <w:szCs w:val="28"/>
          <w:lang w:eastAsia="fr-FR"/>
        </w:rPr>
      </w:pPr>
      <w:r w:rsidRPr="007A3E77">
        <w:rPr>
          <w:rFonts w:eastAsia="Times New Roman" w:cs="Times New Roman"/>
          <w:color w:val="2D3049"/>
          <w:sz w:val="28"/>
          <w:szCs w:val="28"/>
          <w:shd w:val="clear" w:color="auto" w:fill="FFFF00"/>
          <w:lang w:eastAsia="fr-FR"/>
        </w:rPr>
        <w:t>La FNSEA et La coopération agricole s’opposent à environ la moitié des recommandations édictées par le Conseil national de l’alimentation</w:t>
      </w:r>
      <w:r w:rsidRPr="007A3E77">
        <w:rPr>
          <w:rFonts w:eastAsia="Times New Roman" w:cs="Times New Roman"/>
          <w:color w:val="2D3049"/>
          <w:sz w:val="28"/>
          <w:szCs w:val="28"/>
          <w:lang w:eastAsia="fr-FR"/>
        </w:rPr>
        <w:t xml:space="preserve"> en vue de la Stratégie nationale de l’alimentation, de la nutrition et du climat (SNANC), qui doit être mise en place au plus tard le 1er juillet prochain.</w:t>
      </w:r>
    </w:p>
    <w:p w14:paraId="34FF07A8" w14:textId="77777777" w:rsidR="00447FCC" w:rsidRPr="007A3E77" w:rsidRDefault="00447FCC" w:rsidP="00447FCC">
      <w:pPr>
        <w:pStyle w:val="Paragraphedeliste"/>
        <w:numPr>
          <w:ilvl w:val="0"/>
          <w:numId w:val="1"/>
        </w:numPr>
        <w:spacing w:after="144" w:line="240" w:lineRule="auto"/>
        <w:rPr>
          <w:rFonts w:eastAsia="Times New Roman" w:cs="Times New Roman"/>
          <w:sz w:val="28"/>
          <w:szCs w:val="28"/>
          <w:lang w:eastAsia="fr-FR"/>
        </w:rPr>
      </w:pPr>
      <w:r w:rsidRPr="007A3E77">
        <w:rPr>
          <w:rFonts w:eastAsia="Times New Roman" w:cs="Times New Roman"/>
          <w:color w:val="000000"/>
          <w:sz w:val="28"/>
          <w:szCs w:val="28"/>
          <w:lang w:eastAsia="fr-FR"/>
        </w:rPr>
        <w:t> « </w:t>
      </w:r>
      <w:r w:rsidRPr="007A3E77">
        <w:rPr>
          <w:rFonts w:eastAsia="Times New Roman" w:cs="Times New Roman"/>
          <w:i/>
          <w:iCs/>
          <w:color w:val="000000"/>
          <w:sz w:val="28"/>
          <w:szCs w:val="28"/>
          <w:lang w:eastAsia="fr-FR"/>
        </w:rPr>
        <w:t>Plus de produits végétaux et de produits bruts, moins de produits animaux </w:t>
      </w:r>
      <w:r w:rsidRPr="007A3E77">
        <w:rPr>
          <w:rFonts w:eastAsia="Times New Roman" w:cs="Times New Roman"/>
          <w:color w:val="000000"/>
          <w:sz w:val="28"/>
          <w:szCs w:val="28"/>
          <w:lang w:eastAsia="fr-FR"/>
        </w:rPr>
        <w:t>». Pas d’accord. « </w:t>
      </w:r>
      <w:r w:rsidRPr="007A3E77">
        <w:rPr>
          <w:rFonts w:eastAsia="Times New Roman" w:cs="Times New Roman"/>
          <w:i/>
          <w:iCs/>
          <w:color w:val="000000"/>
          <w:sz w:val="28"/>
          <w:szCs w:val="28"/>
          <w:lang w:eastAsia="fr-FR"/>
        </w:rPr>
        <w:t>Modérer l’offre de produits laitiers et carnés</w:t>
      </w:r>
      <w:r w:rsidRPr="007A3E77">
        <w:rPr>
          <w:rFonts w:eastAsia="Times New Roman" w:cs="Times New Roman"/>
          <w:color w:val="000000"/>
          <w:sz w:val="28"/>
          <w:szCs w:val="28"/>
          <w:lang w:eastAsia="fr-FR"/>
        </w:rPr>
        <w:t> ». Pas d’accord. « </w:t>
      </w:r>
      <w:r w:rsidRPr="007A3E77">
        <w:rPr>
          <w:rFonts w:eastAsia="Times New Roman" w:cs="Times New Roman"/>
          <w:i/>
          <w:iCs/>
          <w:color w:val="000000"/>
          <w:sz w:val="28"/>
          <w:szCs w:val="28"/>
          <w:lang w:eastAsia="fr-FR"/>
        </w:rPr>
        <w:t>Assurer une information complète, compréhensible et lisible auprès des consommateurs sur l’impact de l’alimentation sur la santé, la planète et sur le bien-être animal</w:t>
      </w:r>
      <w:r w:rsidRPr="007A3E77">
        <w:rPr>
          <w:rFonts w:eastAsia="Times New Roman" w:cs="Times New Roman"/>
          <w:color w:val="000000"/>
          <w:sz w:val="28"/>
          <w:szCs w:val="28"/>
          <w:lang w:eastAsia="fr-FR"/>
        </w:rPr>
        <w:t> ». Pas d’accord. « </w:t>
      </w:r>
      <w:r w:rsidRPr="007A3E77">
        <w:rPr>
          <w:rFonts w:eastAsia="Times New Roman" w:cs="Times New Roman"/>
          <w:i/>
          <w:iCs/>
          <w:color w:val="000000"/>
          <w:sz w:val="28"/>
          <w:szCs w:val="28"/>
          <w:lang w:eastAsia="fr-FR"/>
        </w:rPr>
        <w:t>Mettre en cohérence les politiques agricoles et alimentaires au niveau national entre elles, ainsi qu’avec les politiques nationales et européennes de protection et de promotion de la santé, de préservation de l’environnement et du bien-être animal</w:t>
      </w:r>
      <w:r w:rsidRPr="007A3E77">
        <w:rPr>
          <w:rFonts w:eastAsia="Times New Roman" w:cs="Times New Roman"/>
          <w:color w:val="000000"/>
          <w:sz w:val="28"/>
          <w:szCs w:val="28"/>
          <w:lang w:eastAsia="fr-FR"/>
        </w:rPr>
        <w:t> ». Pas d’accord. « </w:t>
      </w:r>
      <w:r w:rsidRPr="007A3E77">
        <w:rPr>
          <w:rFonts w:eastAsia="Times New Roman" w:cs="Times New Roman"/>
          <w:i/>
          <w:iCs/>
          <w:color w:val="000000"/>
          <w:sz w:val="28"/>
          <w:szCs w:val="28"/>
          <w:lang w:eastAsia="fr-FR"/>
        </w:rPr>
        <w:t>Accélérer et rendre majoritaire, par l’adoption et l’adaptation des réglementations et financements français et européens, en particulier de la PAC, la transition des systèmes agricoles vers des modes de productions agroécologiques, en particulier biologiques</w:t>
      </w:r>
      <w:r w:rsidRPr="007A3E77">
        <w:rPr>
          <w:rFonts w:eastAsia="Times New Roman" w:cs="Times New Roman"/>
          <w:color w:val="000000"/>
          <w:sz w:val="28"/>
          <w:szCs w:val="28"/>
          <w:lang w:eastAsia="fr-FR"/>
        </w:rPr>
        <w:t> ». « </w:t>
      </w:r>
      <w:r w:rsidRPr="007A3E77">
        <w:rPr>
          <w:rFonts w:eastAsia="Times New Roman" w:cs="Times New Roman"/>
          <w:i/>
          <w:iCs/>
          <w:color w:val="000000"/>
          <w:sz w:val="28"/>
          <w:szCs w:val="28"/>
          <w:lang w:eastAsia="fr-FR"/>
        </w:rPr>
        <w:t>Encadrer et règlementer le marketing et la publicité les produits allant à l’encontre d’une alimentation équilibrée, saine et durable pour protéger les consommateurs et les enfants en particulier</w:t>
      </w:r>
      <w:r w:rsidRPr="007A3E77">
        <w:rPr>
          <w:rFonts w:eastAsia="Times New Roman" w:cs="Times New Roman"/>
          <w:color w:val="000000"/>
          <w:sz w:val="28"/>
          <w:szCs w:val="28"/>
          <w:lang w:eastAsia="fr-FR"/>
        </w:rPr>
        <w:t xml:space="preserve"> ». Pas d’accord. Tels sont quelques-uns </w:t>
      </w:r>
      <w:proofErr w:type="gramStart"/>
      <w:r w:rsidRPr="007A3E77">
        <w:rPr>
          <w:rFonts w:eastAsia="Times New Roman" w:cs="Times New Roman"/>
          <w:color w:val="000000"/>
          <w:sz w:val="28"/>
          <w:szCs w:val="28"/>
          <w:lang w:eastAsia="fr-FR"/>
        </w:rPr>
        <w:t>des dissensions exprimés</w:t>
      </w:r>
      <w:proofErr w:type="gramEnd"/>
      <w:r w:rsidRPr="007A3E77">
        <w:rPr>
          <w:rFonts w:eastAsia="Times New Roman" w:cs="Times New Roman"/>
          <w:color w:val="000000"/>
          <w:sz w:val="28"/>
          <w:szCs w:val="28"/>
          <w:lang w:eastAsia="fr-FR"/>
        </w:rPr>
        <w:t xml:space="preserve"> par la FNSEA et/ou La coopération agricole (LCA) sur la priorisation des recommandations (ou sur la méthode choisie pour y parvenir) édictées par le Conseil national de l’alimentation (CNA) en vue de </w:t>
      </w:r>
      <w:hyperlink r:id="rId8" w:history="1">
        <w:r w:rsidRPr="007A3E77">
          <w:rPr>
            <w:rFonts w:eastAsia="Times New Roman" w:cs="Times New Roman"/>
            <w:color w:val="0000FF"/>
            <w:sz w:val="28"/>
            <w:szCs w:val="28"/>
            <w:u w:val="single"/>
            <w:lang w:eastAsia="fr-FR"/>
          </w:rPr>
          <w:t>la Stratégie nationale de l’alimentation, de la nutrition et du climat (SNANC).</w:t>
        </w:r>
      </w:hyperlink>
    </w:p>
    <w:p w14:paraId="36D57CE4" w14:textId="77777777" w:rsidR="00447FCC" w:rsidRPr="007A3E77" w:rsidRDefault="00447FCC" w:rsidP="00447FCC">
      <w:pPr>
        <w:pStyle w:val="Paragraphedeliste"/>
        <w:numPr>
          <w:ilvl w:val="0"/>
          <w:numId w:val="1"/>
        </w:numPr>
        <w:spacing w:after="240" w:line="240" w:lineRule="auto"/>
        <w:rPr>
          <w:rFonts w:eastAsia="Times New Roman" w:cs="Times New Roman"/>
          <w:sz w:val="28"/>
          <w:szCs w:val="28"/>
          <w:lang w:eastAsia="fr-FR"/>
        </w:rPr>
      </w:pPr>
      <w:r w:rsidRPr="007A3E77">
        <w:rPr>
          <w:rFonts w:eastAsia="Times New Roman" w:cs="Times New Roman"/>
          <w:sz w:val="28"/>
          <w:szCs w:val="28"/>
          <w:lang w:eastAsia="fr-FR"/>
        </w:rPr>
        <w:br/>
      </w:r>
    </w:p>
    <w:p w14:paraId="37250DE5" w14:textId="77777777" w:rsidR="00447FCC" w:rsidRPr="007A3E77" w:rsidRDefault="00447FCC" w:rsidP="00447FCC">
      <w:pPr>
        <w:pStyle w:val="Paragraphedeliste"/>
        <w:numPr>
          <w:ilvl w:val="0"/>
          <w:numId w:val="1"/>
        </w:numPr>
        <w:spacing w:before="288" w:after="288" w:line="240" w:lineRule="auto"/>
        <w:rPr>
          <w:rFonts w:eastAsia="Times New Roman" w:cs="Times New Roman"/>
          <w:sz w:val="28"/>
          <w:szCs w:val="28"/>
          <w:lang w:eastAsia="fr-FR"/>
        </w:rPr>
      </w:pPr>
      <w:r w:rsidRPr="007A3E77">
        <w:rPr>
          <w:rFonts w:eastAsia="Times New Roman" w:cs="Times New Roman"/>
          <w:b/>
          <w:bCs/>
          <w:color w:val="000000"/>
          <w:sz w:val="28"/>
          <w:szCs w:val="28"/>
          <w:lang w:eastAsia="fr-FR"/>
        </w:rPr>
        <w:t>Le CNA, le « Parlement de l’alimentation »</w:t>
      </w:r>
    </w:p>
    <w:p w14:paraId="2392E694" w14:textId="77777777" w:rsidR="00447FCC" w:rsidRPr="007A3E77" w:rsidRDefault="00447FCC" w:rsidP="00447FCC">
      <w:pPr>
        <w:pStyle w:val="Paragraphedeliste"/>
        <w:numPr>
          <w:ilvl w:val="0"/>
          <w:numId w:val="1"/>
        </w:numPr>
        <w:spacing w:after="144" w:line="240" w:lineRule="auto"/>
        <w:rPr>
          <w:rFonts w:eastAsia="Times New Roman" w:cs="Times New Roman"/>
          <w:sz w:val="28"/>
          <w:szCs w:val="28"/>
          <w:lang w:eastAsia="fr-FR"/>
        </w:rPr>
      </w:pPr>
      <w:r w:rsidRPr="007A3E77">
        <w:rPr>
          <w:rFonts w:eastAsia="Times New Roman" w:cs="Times New Roman"/>
          <w:color w:val="000000"/>
          <w:sz w:val="28"/>
          <w:szCs w:val="28"/>
          <w:lang w:eastAsia="fr-FR"/>
        </w:rPr>
        <w:t>Celle-ci doit être mise en œuvre au plus tard le 1</w:t>
      </w:r>
      <w:r w:rsidRPr="007A3E77">
        <w:rPr>
          <w:rFonts w:eastAsia="Times New Roman" w:cs="Times New Roman"/>
          <w:color w:val="000000"/>
          <w:sz w:val="28"/>
          <w:szCs w:val="28"/>
          <w:vertAlign w:val="superscript"/>
          <w:lang w:eastAsia="fr-FR"/>
        </w:rPr>
        <w:t>er</w:t>
      </w:r>
      <w:r w:rsidRPr="007A3E77">
        <w:rPr>
          <w:rFonts w:eastAsia="Times New Roman" w:cs="Times New Roman"/>
          <w:color w:val="000000"/>
          <w:sz w:val="28"/>
          <w:szCs w:val="28"/>
          <w:lang w:eastAsia="fr-FR"/>
        </w:rPr>
        <w:t> juillet prochain, conformément à l’article 265 de </w:t>
      </w:r>
      <w:hyperlink r:id="rId9" w:history="1">
        <w:r w:rsidRPr="007A3E77">
          <w:rPr>
            <w:rFonts w:eastAsia="Times New Roman" w:cs="Times New Roman"/>
            <w:color w:val="0000FF"/>
            <w:sz w:val="28"/>
            <w:szCs w:val="28"/>
            <w:u w:val="single"/>
            <w:lang w:eastAsia="fr-FR"/>
          </w:rPr>
          <w:t>la loi Climat et résilience promulguée en août 2021</w:t>
        </w:r>
      </w:hyperlink>
      <w:r w:rsidRPr="007A3E77">
        <w:rPr>
          <w:rFonts w:eastAsia="Times New Roman" w:cs="Times New Roman"/>
          <w:color w:val="000000"/>
          <w:sz w:val="28"/>
          <w:szCs w:val="28"/>
          <w:lang w:eastAsia="fr-FR"/>
        </w:rPr>
        <w:t xml:space="preserve">. </w:t>
      </w:r>
      <w:r w:rsidRPr="007A3E77">
        <w:rPr>
          <w:rFonts w:eastAsia="Times New Roman" w:cs="Times New Roman"/>
          <w:b/>
          <w:bCs/>
          <w:color w:val="000000"/>
          <w:sz w:val="28"/>
          <w:szCs w:val="28"/>
          <w:lang w:eastAsia="fr-FR"/>
        </w:rPr>
        <w:t>Objectifs :</w:t>
      </w:r>
      <w:r w:rsidRPr="007A3E77">
        <w:rPr>
          <w:rFonts w:eastAsia="Times New Roman" w:cs="Times New Roman"/>
          <w:color w:val="000000"/>
          <w:sz w:val="28"/>
          <w:szCs w:val="28"/>
          <w:lang w:eastAsia="fr-FR"/>
        </w:rPr>
        <w:t xml:space="preserve"> </w:t>
      </w:r>
      <w:r w:rsidRPr="007A3E77">
        <w:rPr>
          <w:rFonts w:eastAsia="Times New Roman" w:cs="Times New Roman"/>
          <w:color w:val="000000"/>
          <w:sz w:val="28"/>
          <w:szCs w:val="28"/>
          <w:shd w:val="clear" w:color="auto" w:fill="FFFF00"/>
          <w:lang w:eastAsia="fr-FR"/>
        </w:rPr>
        <w:t xml:space="preserve">instituer une alimentation durable, moins émettrice de gaz à effet de serre, respectueuse de la </w:t>
      </w:r>
      <w:r w:rsidRPr="007A3E77">
        <w:rPr>
          <w:rFonts w:eastAsia="Times New Roman" w:cs="Times New Roman"/>
          <w:color w:val="000000"/>
          <w:sz w:val="28"/>
          <w:szCs w:val="28"/>
          <w:shd w:val="clear" w:color="auto" w:fill="FFFF00"/>
          <w:lang w:eastAsia="fr-FR"/>
        </w:rPr>
        <w:lastRenderedPageBreak/>
        <w:t>santé humaine, davantage protectrice de la biodiversité, favorisant la résilience des systèmes agricoles et des systèmes alimentaires territoriaux et garante de la souveraineté alimentaire, ainsi que les orientations de la politique de la nutrition, en s’appuyant sur le Programme national pour l’alimentation (PNA) et le Programme national nutrition santé (PNNS).</w:t>
      </w:r>
    </w:p>
    <w:p w14:paraId="0CEC96A7" w14:textId="4006FB3A" w:rsidR="00447FCC" w:rsidRPr="007A3E77" w:rsidRDefault="00447FCC" w:rsidP="00447FCC">
      <w:pPr>
        <w:pStyle w:val="Paragraphedeliste"/>
        <w:numPr>
          <w:ilvl w:val="0"/>
          <w:numId w:val="1"/>
        </w:numPr>
        <w:spacing w:after="144" w:line="240" w:lineRule="auto"/>
        <w:rPr>
          <w:rFonts w:eastAsia="Times New Roman" w:cs="Times New Roman"/>
          <w:sz w:val="28"/>
          <w:szCs w:val="28"/>
          <w:lang w:eastAsia="fr-FR"/>
        </w:rPr>
      </w:pPr>
      <w:r w:rsidRPr="007A3E77">
        <w:rPr>
          <w:rFonts w:eastAsia="Times New Roman" w:cs="Times New Roman"/>
          <w:color w:val="000000"/>
          <w:sz w:val="28"/>
          <w:szCs w:val="28"/>
          <w:lang w:eastAsia="fr-FR"/>
        </w:rPr>
        <w:t xml:space="preserve">« Parlement de l'alimentation », le CNA, chargé d’organiser la concertation entre acteurs de la filière alimentaire et des débats citoyens, avait été saisi en février dernier par trois de ses ministères de rattachement (santé, environnement, agriculture) pour contribuer à l’élaboration de la future SNANC. </w:t>
      </w:r>
      <w:r w:rsidRPr="007A3E77">
        <w:rPr>
          <w:rFonts w:eastAsia="Times New Roman" w:cs="Times New Roman"/>
          <w:color w:val="000000"/>
          <w:sz w:val="28"/>
          <w:szCs w:val="28"/>
          <w:shd w:val="clear" w:color="auto" w:fill="FFFF00"/>
          <w:lang w:eastAsia="fr-FR"/>
        </w:rPr>
        <w:t>Le CNA a identifié 17 objectifs stratégiques pouvant servir de base à l’élaboration de la SNANC</w:t>
      </w:r>
      <w:r w:rsidRPr="007A3E77">
        <w:rPr>
          <w:rFonts w:eastAsia="Times New Roman" w:cs="Times New Roman"/>
          <w:color w:val="000000"/>
          <w:sz w:val="28"/>
          <w:szCs w:val="28"/>
          <w:lang w:eastAsia="fr-FR"/>
        </w:rPr>
        <w:t>, structurés autour de 6 axes (gouvernance, mieux, produire, mieux transformer, mieux distribuer, mieux consommer, recherche</w:t>
      </w:r>
      <w:r w:rsidRPr="007A3E77">
        <w:rPr>
          <w:rFonts w:eastAsia="Times New Roman" w:cs="Times New Roman"/>
          <w:color w:val="000000"/>
          <w:sz w:val="28"/>
          <w:szCs w:val="28"/>
          <w:shd w:val="clear" w:color="auto" w:fill="FFFF00"/>
          <w:lang w:eastAsia="fr-FR"/>
        </w:rPr>
        <w:t>), aboutissant à 122 recommandations dont 37 identifiées comme prioritaires. La FNSEA et LCA ont émis des réserves sur 19 d’entre elles.</w:t>
      </w:r>
    </w:p>
    <w:p w14:paraId="66E0ACA5" w14:textId="77777777" w:rsidR="00447FCC" w:rsidRPr="007A3E77" w:rsidRDefault="00447FCC" w:rsidP="00447FCC">
      <w:pPr>
        <w:spacing w:after="144" w:line="240" w:lineRule="auto"/>
        <w:ind w:left="360"/>
        <w:rPr>
          <w:rFonts w:eastAsia="Times New Roman" w:cs="Times New Roman"/>
          <w:sz w:val="28"/>
          <w:szCs w:val="28"/>
          <w:lang w:eastAsia="fr-FR"/>
        </w:rPr>
      </w:pPr>
    </w:p>
    <w:p w14:paraId="6B5C4BC6" w14:textId="77777777" w:rsidR="00447FCC" w:rsidRPr="007A3E77" w:rsidRDefault="00447FCC" w:rsidP="00447FCC">
      <w:pPr>
        <w:pStyle w:val="Paragraphedeliste"/>
        <w:numPr>
          <w:ilvl w:val="0"/>
          <w:numId w:val="1"/>
        </w:numPr>
        <w:spacing w:before="288" w:after="288" w:line="240" w:lineRule="auto"/>
        <w:rPr>
          <w:rFonts w:eastAsia="Times New Roman" w:cs="Times New Roman"/>
          <w:sz w:val="28"/>
          <w:szCs w:val="28"/>
          <w:lang w:eastAsia="fr-FR"/>
        </w:rPr>
      </w:pPr>
      <w:r w:rsidRPr="007A3E77">
        <w:rPr>
          <w:rFonts w:eastAsia="Times New Roman" w:cs="Times New Roman"/>
          <w:b/>
          <w:bCs/>
          <w:color w:val="000000"/>
          <w:sz w:val="28"/>
          <w:szCs w:val="28"/>
          <w:lang w:eastAsia="fr-FR"/>
        </w:rPr>
        <w:t>Les reformulations de la FNSEA et de LCA</w:t>
      </w:r>
    </w:p>
    <w:p w14:paraId="4ED3D33B" w14:textId="77777777" w:rsidR="00447FCC" w:rsidRPr="007A3E77" w:rsidRDefault="00447FCC" w:rsidP="00447FCC">
      <w:pPr>
        <w:pStyle w:val="Paragraphedeliste"/>
        <w:numPr>
          <w:ilvl w:val="0"/>
          <w:numId w:val="1"/>
        </w:numPr>
        <w:spacing w:after="144" w:line="240" w:lineRule="auto"/>
        <w:rPr>
          <w:rFonts w:eastAsia="Times New Roman" w:cs="Times New Roman"/>
          <w:sz w:val="28"/>
          <w:szCs w:val="28"/>
          <w:lang w:eastAsia="fr-FR"/>
        </w:rPr>
      </w:pPr>
      <w:r w:rsidRPr="007A3E77">
        <w:rPr>
          <w:rFonts w:eastAsia="Times New Roman" w:cs="Times New Roman"/>
          <w:color w:val="000000"/>
          <w:sz w:val="28"/>
          <w:szCs w:val="28"/>
          <w:lang w:eastAsia="fr-FR"/>
        </w:rPr>
        <w:t>Pour être précis, la FNSEA et LCA ne refusent pas en bloc les recommandations précitées mais les reformulent différemment. Concernant la cohérence des politiques nationale et européennes, la FNSEA «</w:t>
      </w:r>
      <w:r w:rsidRPr="007A3E77">
        <w:rPr>
          <w:rFonts w:eastAsia="Times New Roman" w:cs="Times New Roman"/>
          <w:i/>
          <w:iCs/>
          <w:color w:val="000000"/>
          <w:sz w:val="28"/>
          <w:szCs w:val="28"/>
          <w:lang w:eastAsia="fr-FR"/>
        </w:rPr>
        <w:t xml:space="preserve"> partage dans les grandes lignes les objectifs du Green Deal et plus spécifiquement de la Stratégie </w:t>
      </w:r>
      <w:proofErr w:type="spellStart"/>
      <w:r w:rsidRPr="007A3E77">
        <w:rPr>
          <w:rFonts w:eastAsia="Times New Roman" w:cs="Times New Roman"/>
          <w:i/>
          <w:iCs/>
          <w:color w:val="000000"/>
          <w:sz w:val="28"/>
          <w:szCs w:val="28"/>
          <w:lang w:eastAsia="fr-FR"/>
        </w:rPr>
        <w:t>Farm</w:t>
      </w:r>
      <w:proofErr w:type="spellEnd"/>
      <w:r w:rsidRPr="007A3E77">
        <w:rPr>
          <w:rFonts w:eastAsia="Times New Roman" w:cs="Times New Roman"/>
          <w:i/>
          <w:iCs/>
          <w:color w:val="000000"/>
          <w:sz w:val="28"/>
          <w:szCs w:val="28"/>
          <w:lang w:eastAsia="fr-FR"/>
        </w:rPr>
        <w:t xml:space="preserve"> to fork – qui place parmi ses priorités : la sécurité et la sûreté alimentaire de l’UE, un revenu équitable et un soutien aux producteurs primaires, et la compétitivité de l’agriculture de l’UE au niveau mondial –, elle demeure inquiète vis-à-vis de certains objectifs chiffrés à atteindre d’ici 2030, notamment celui de réduire de 50% l’usage des produits phytosanitaires et de 20% celui des engrais, mais aussi la volonté d’étendre la </w:t>
      </w:r>
    </w:p>
    <w:p w14:paraId="2F5B5248" w14:textId="1D7E2950" w:rsidR="00447FCC" w:rsidRPr="007A3E77" w:rsidRDefault="00447FCC" w:rsidP="00447FCC">
      <w:pPr>
        <w:pStyle w:val="Paragraphedeliste"/>
        <w:numPr>
          <w:ilvl w:val="0"/>
          <w:numId w:val="1"/>
        </w:numPr>
        <w:spacing w:after="144" w:line="240" w:lineRule="auto"/>
        <w:rPr>
          <w:rFonts w:eastAsia="Times New Roman" w:cs="Times New Roman"/>
          <w:sz w:val="28"/>
          <w:szCs w:val="28"/>
          <w:lang w:eastAsia="fr-FR"/>
        </w:rPr>
      </w:pPr>
      <w:proofErr w:type="gramStart"/>
      <w:r w:rsidRPr="007A3E77">
        <w:rPr>
          <w:rFonts w:eastAsia="Times New Roman" w:cs="Times New Roman"/>
          <w:i/>
          <w:iCs/>
          <w:color w:val="000000"/>
          <w:sz w:val="28"/>
          <w:szCs w:val="28"/>
          <w:lang w:eastAsia="fr-FR"/>
        </w:rPr>
        <w:t>production</w:t>
      </w:r>
      <w:proofErr w:type="gramEnd"/>
      <w:r w:rsidRPr="007A3E77">
        <w:rPr>
          <w:rFonts w:eastAsia="Times New Roman" w:cs="Times New Roman"/>
          <w:i/>
          <w:iCs/>
          <w:color w:val="000000"/>
          <w:sz w:val="28"/>
          <w:szCs w:val="28"/>
          <w:lang w:eastAsia="fr-FR"/>
        </w:rPr>
        <w:t xml:space="preserve"> biologique à 25% de surfaces cultivables en Europe</w:t>
      </w:r>
      <w:r w:rsidRPr="007A3E77">
        <w:rPr>
          <w:rFonts w:eastAsia="Times New Roman" w:cs="Times New Roman"/>
          <w:color w:val="000000"/>
          <w:sz w:val="28"/>
          <w:szCs w:val="28"/>
          <w:lang w:eastAsia="fr-FR"/>
        </w:rPr>
        <w:t xml:space="preserve"> ». Concernant le verdissement de la </w:t>
      </w:r>
      <w:proofErr w:type="spellStart"/>
      <w:r w:rsidRPr="007A3E77">
        <w:rPr>
          <w:rFonts w:eastAsia="Times New Roman" w:cs="Times New Roman"/>
          <w:color w:val="000000"/>
          <w:sz w:val="28"/>
          <w:szCs w:val="28"/>
          <w:lang w:eastAsia="fr-FR"/>
        </w:rPr>
        <w:t>Pac</w:t>
      </w:r>
      <w:proofErr w:type="spellEnd"/>
      <w:r w:rsidRPr="007A3E77">
        <w:rPr>
          <w:rFonts w:eastAsia="Times New Roman" w:cs="Times New Roman"/>
          <w:color w:val="000000"/>
          <w:sz w:val="28"/>
          <w:szCs w:val="28"/>
          <w:lang w:eastAsia="fr-FR"/>
        </w:rPr>
        <w:t>, « </w:t>
      </w:r>
      <w:r w:rsidRPr="007A3E77">
        <w:rPr>
          <w:rFonts w:eastAsia="Times New Roman" w:cs="Times New Roman"/>
          <w:i/>
          <w:iCs/>
          <w:color w:val="000000"/>
          <w:sz w:val="28"/>
          <w:szCs w:val="28"/>
          <w:lang w:eastAsia="fr-FR"/>
        </w:rPr>
        <w:t>tous les modes de production doivent être accompagnés, sur le plan financier et opérationnel, vers la transition. Il est primordial de n’en exclure aucun</w:t>
      </w:r>
      <w:r w:rsidRPr="007A3E77">
        <w:rPr>
          <w:rFonts w:eastAsia="Times New Roman" w:cs="Times New Roman"/>
          <w:color w:val="000000"/>
          <w:sz w:val="28"/>
          <w:szCs w:val="28"/>
          <w:lang w:eastAsia="fr-FR"/>
        </w:rPr>
        <w:t> ». Au sujet du rééquilibrage entre produit animaux et végétaux, « </w:t>
      </w:r>
      <w:r w:rsidRPr="007A3E77">
        <w:rPr>
          <w:rFonts w:eastAsia="Times New Roman" w:cs="Times New Roman"/>
          <w:i/>
          <w:iCs/>
          <w:color w:val="000000"/>
          <w:sz w:val="28"/>
          <w:szCs w:val="28"/>
          <w:lang w:eastAsia="fr-FR"/>
        </w:rPr>
        <w:t>il convient de privilégier la notion d’équilibre alimentaire entre produits animaux et végétaux, en lien avec les recommandations nutritionnelles </w:t>
      </w:r>
      <w:r w:rsidRPr="007A3E77">
        <w:rPr>
          <w:rFonts w:eastAsia="Times New Roman" w:cs="Times New Roman"/>
          <w:color w:val="000000"/>
          <w:sz w:val="28"/>
          <w:szCs w:val="28"/>
          <w:lang w:eastAsia="fr-FR"/>
        </w:rPr>
        <w:t>». Concernant l’étiquetage environnementale, « </w:t>
      </w:r>
      <w:r w:rsidRPr="007A3E77">
        <w:rPr>
          <w:rFonts w:eastAsia="Times New Roman" w:cs="Times New Roman"/>
          <w:i/>
          <w:iCs/>
          <w:color w:val="000000"/>
          <w:sz w:val="28"/>
          <w:szCs w:val="28"/>
          <w:lang w:eastAsia="fr-FR"/>
        </w:rPr>
        <w:t>les dispositifs en question doivent être fiables et reposer sur des socles scientifiques solides et non stigmatisants</w:t>
      </w:r>
      <w:r w:rsidRPr="007A3E77">
        <w:rPr>
          <w:rFonts w:eastAsia="Times New Roman" w:cs="Times New Roman"/>
          <w:color w:val="000000"/>
          <w:sz w:val="28"/>
          <w:szCs w:val="28"/>
          <w:lang w:eastAsia="fr-FR"/>
        </w:rPr>
        <w:t> ».</w:t>
      </w:r>
    </w:p>
    <w:p w14:paraId="0C039A90" w14:textId="77777777" w:rsidR="00447FCC" w:rsidRPr="007A3E77" w:rsidRDefault="00447FCC" w:rsidP="00447FCC">
      <w:pPr>
        <w:spacing w:after="144" w:line="240" w:lineRule="auto"/>
        <w:rPr>
          <w:rFonts w:eastAsia="Times New Roman" w:cs="Times New Roman"/>
          <w:sz w:val="28"/>
          <w:szCs w:val="28"/>
          <w:lang w:eastAsia="fr-FR"/>
        </w:rPr>
      </w:pPr>
    </w:p>
    <w:p w14:paraId="5D705172" w14:textId="77777777" w:rsidR="00447FCC" w:rsidRPr="007A3E77" w:rsidRDefault="00447FCC" w:rsidP="00447FCC">
      <w:pPr>
        <w:pStyle w:val="Paragraphedeliste"/>
        <w:numPr>
          <w:ilvl w:val="0"/>
          <w:numId w:val="1"/>
        </w:numPr>
        <w:spacing w:before="288" w:after="288" w:line="240" w:lineRule="auto"/>
        <w:rPr>
          <w:rFonts w:eastAsia="Times New Roman" w:cs="Times New Roman"/>
          <w:sz w:val="28"/>
          <w:szCs w:val="28"/>
          <w:lang w:eastAsia="fr-FR"/>
        </w:rPr>
      </w:pPr>
      <w:r w:rsidRPr="007A3E77">
        <w:rPr>
          <w:rFonts w:eastAsia="Times New Roman" w:cs="Times New Roman"/>
          <w:b/>
          <w:bCs/>
          <w:color w:val="000000"/>
          <w:sz w:val="28"/>
          <w:szCs w:val="28"/>
          <w:lang w:eastAsia="fr-FR"/>
        </w:rPr>
        <w:t>Les remarques de la CR et de la Conf’</w:t>
      </w:r>
    </w:p>
    <w:p w14:paraId="38F17295" w14:textId="77777777" w:rsidR="00447FCC" w:rsidRPr="007A3E77" w:rsidRDefault="00447FCC" w:rsidP="00447FCC">
      <w:pPr>
        <w:pStyle w:val="Paragraphedeliste"/>
        <w:numPr>
          <w:ilvl w:val="0"/>
          <w:numId w:val="1"/>
        </w:numPr>
        <w:spacing w:after="144" w:line="240" w:lineRule="auto"/>
        <w:rPr>
          <w:rFonts w:eastAsia="Times New Roman" w:cs="Times New Roman"/>
          <w:sz w:val="28"/>
          <w:szCs w:val="28"/>
          <w:lang w:eastAsia="fr-FR"/>
        </w:rPr>
      </w:pPr>
      <w:r w:rsidRPr="007A3E77">
        <w:rPr>
          <w:rFonts w:eastAsia="Times New Roman" w:cs="Times New Roman"/>
          <w:color w:val="000000"/>
          <w:sz w:val="28"/>
          <w:szCs w:val="28"/>
          <w:lang w:eastAsia="fr-FR"/>
        </w:rPr>
        <w:t xml:space="preserve">Siégeant également au CNA, la Coordination rurale et la </w:t>
      </w:r>
      <w:r w:rsidRPr="007A3E77">
        <w:rPr>
          <w:rFonts w:eastAsia="Times New Roman" w:cs="Times New Roman"/>
          <w:color w:val="000000"/>
          <w:sz w:val="28"/>
          <w:szCs w:val="28"/>
          <w:shd w:val="clear" w:color="auto" w:fill="FFFF00"/>
          <w:lang w:eastAsia="fr-FR"/>
        </w:rPr>
        <w:t>Confédération paysanne</w:t>
      </w:r>
      <w:r w:rsidRPr="007A3E77">
        <w:rPr>
          <w:rFonts w:eastAsia="Times New Roman" w:cs="Times New Roman"/>
          <w:color w:val="000000"/>
          <w:sz w:val="28"/>
          <w:szCs w:val="28"/>
          <w:lang w:eastAsia="fr-FR"/>
        </w:rPr>
        <w:t xml:space="preserve"> ont également fait entendre leur voix. La Conf’ s’est </w:t>
      </w:r>
      <w:r w:rsidRPr="007A3E77">
        <w:rPr>
          <w:rFonts w:eastAsia="Times New Roman" w:cs="Times New Roman"/>
          <w:color w:val="000000"/>
          <w:sz w:val="28"/>
          <w:szCs w:val="28"/>
          <w:shd w:val="clear" w:color="auto" w:fill="FFFF00"/>
          <w:lang w:eastAsia="fr-FR"/>
        </w:rPr>
        <w:t>opposée à la recommandation de généraliser le menu végétarien dans la restauration collective et s’est dite «</w:t>
      </w:r>
      <w:r w:rsidRPr="007A3E77">
        <w:rPr>
          <w:rFonts w:eastAsia="Times New Roman" w:cs="Times New Roman"/>
          <w:i/>
          <w:iCs/>
          <w:color w:val="000000"/>
          <w:sz w:val="28"/>
          <w:szCs w:val="28"/>
          <w:shd w:val="clear" w:color="auto" w:fill="FFFF00"/>
          <w:lang w:eastAsia="fr-FR"/>
        </w:rPr>
        <w:t> favorable</w:t>
      </w:r>
      <w:r w:rsidRPr="007A3E77">
        <w:rPr>
          <w:rFonts w:eastAsia="Times New Roman" w:cs="Times New Roman"/>
          <w:i/>
          <w:iCs/>
          <w:color w:val="000000"/>
          <w:sz w:val="28"/>
          <w:szCs w:val="28"/>
          <w:lang w:eastAsia="fr-FR"/>
        </w:rPr>
        <w:t xml:space="preserve"> à des menus diversifiés de produits de qualité ancrés dans les territoires, une portion viande adaptée, une augmentation des végétaux, et à une réduction de la consommation de produits transformés pour assurer la durabilité des régimes alimentaires</w:t>
      </w:r>
      <w:r w:rsidRPr="007A3E77">
        <w:rPr>
          <w:rFonts w:eastAsia="Times New Roman" w:cs="Times New Roman"/>
          <w:color w:val="000000"/>
          <w:sz w:val="28"/>
          <w:szCs w:val="28"/>
          <w:lang w:eastAsia="fr-FR"/>
        </w:rPr>
        <w:t> ». Concernant l’affichage environnemental, le syndicat estime que « </w:t>
      </w:r>
      <w:r w:rsidRPr="007A3E77">
        <w:rPr>
          <w:rFonts w:eastAsia="Times New Roman" w:cs="Times New Roman"/>
          <w:i/>
          <w:iCs/>
          <w:color w:val="000000"/>
          <w:sz w:val="28"/>
          <w:szCs w:val="28"/>
          <w:lang w:eastAsia="fr-FR"/>
        </w:rPr>
        <w:t>ses critères ne peuvent se limiter aux émissions de GES et devraient aussi prendre en compte l'effondrement de la biodiversité, la diversité des paysages, la qualité de l'eau et de l'air et le revenu paysan afin d'assurer le renouvellement générationnel</w:t>
      </w:r>
      <w:r w:rsidRPr="007A3E77">
        <w:rPr>
          <w:rFonts w:eastAsia="Times New Roman" w:cs="Times New Roman"/>
          <w:color w:val="000000"/>
          <w:sz w:val="28"/>
          <w:szCs w:val="28"/>
          <w:lang w:eastAsia="fr-FR"/>
        </w:rPr>
        <w:t> ».</w:t>
      </w:r>
    </w:p>
    <w:p w14:paraId="175CA445" w14:textId="21C594C0" w:rsidR="00447FCC" w:rsidRPr="007A3E77" w:rsidRDefault="00447FCC" w:rsidP="00447FCC">
      <w:pPr>
        <w:pStyle w:val="NormalWeb"/>
        <w:numPr>
          <w:ilvl w:val="0"/>
          <w:numId w:val="1"/>
        </w:numPr>
        <w:spacing w:before="0" w:beforeAutospacing="0" w:after="280" w:afterAutospacing="0"/>
        <w:textAlignment w:val="baseline"/>
        <w:rPr>
          <w:rFonts w:ascii="Georgia" w:hAnsi="Georgia" w:cs="Arial"/>
          <w:color w:val="000000"/>
          <w:sz w:val="28"/>
          <w:szCs w:val="28"/>
        </w:rPr>
      </w:pPr>
      <w:r w:rsidRPr="007A3E77">
        <w:rPr>
          <w:rFonts w:ascii="Georgia" w:hAnsi="Georgia"/>
          <w:color w:val="000000"/>
          <w:sz w:val="28"/>
          <w:szCs w:val="28"/>
        </w:rPr>
        <w:t xml:space="preserve">De son côté, la </w:t>
      </w:r>
      <w:r w:rsidRPr="007A3E77">
        <w:rPr>
          <w:rFonts w:ascii="Georgia" w:hAnsi="Georgia"/>
          <w:color w:val="000000"/>
          <w:sz w:val="28"/>
          <w:szCs w:val="28"/>
          <w:shd w:val="clear" w:color="auto" w:fill="FFFF00"/>
        </w:rPr>
        <w:t>Coordination rurale est contre</w:t>
      </w:r>
      <w:r w:rsidRPr="007A3E77">
        <w:rPr>
          <w:rFonts w:ascii="Georgia" w:hAnsi="Georgia"/>
          <w:color w:val="000000"/>
          <w:sz w:val="28"/>
          <w:szCs w:val="28"/>
        </w:rPr>
        <w:t xml:space="preserve"> la recommandation s’alignant sur les objectifs du Green deal en termes de </w:t>
      </w:r>
      <w:r w:rsidRPr="007A3E77">
        <w:rPr>
          <w:rFonts w:ascii="Georgia" w:hAnsi="Georgia"/>
          <w:color w:val="000000"/>
          <w:sz w:val="28"/>
          <w:szCs w:val="28"/>
          <w:shd w:val="clear" w:color="auto" w:fill="FFFF00"/>
        </w:rPr>
        <w:t>réduction d’intrants et d’impacts</w:t>
      </w:r>
      <w:r w:rsidRPr="007A3E77">
        <w:rPr>
          <w:rFonts w:ascii="Georgia" w:hAnsi="Georgia"/>
          <w:color w:val="000000"/>
          <w:sz w:val="28"/>
          <w:szCs w:val="28"/>
        </w:rPr>
        <w:t xml:space="preserve">. Sur la question de la régulation et de </w:t>
      </w:r>
      <w:proofErr w:type="gramStart"/>
      <w:r w:rsidRPr="007A3E77">
        <w:rPr>
          <w:rFonts w:ascii="Georgia" w:hAnsi="Georgia"/>
          <w:color w:val="000000"/>
          <w:sz w:val="28"/>
          <w:szCs w:val="28"/>
        </w:rPr>
        <w:t>la préservation foncières</w:t>
      </w:r>
      <w:proofErr w:type="gramEnd"/>
      <w:r w:rsidRPr="007A3E77">
        <w:rPr>
          <w:rFonts w:ascii="Georgia" w:hAnsi="Georgia"/>
          <w:color w:val="000000"/>
          <w:sz w:val="28"/>
          <w:szCs w:val="28"/>
        </w:rPr>
        <w:t>, la CR estime « </w:t>
      </w:r>
      <w:r w:rsidRPr="007A3E77">
        <w:rPr>
          <w:rFonts w:ascii="Georgia" w:hAnsi="Georgia"/>
          <w:i/>
          <w:iCs/>
          <w:color w:val="000000"/>
          <w:sz w:val="28"/>
          <w:szCs w:val="28"/>
        </w:rPr>
        <w:t xml:space="preserve">qu’assurer des prix </w:t>
      </w:r>
      <w:proofErr w:type="spellStart"/>
      <w:r w:rsidRPr="007A3E77">
        <w:rPr>
          <w:rFonts w:ascii="Georgia" w:hAnsi="Georgia"/>
          <w:i/>
          <w:iCs/>
          <w:color w:val="000000"/>
          <w:sz w:val="28"/>
          <w:szCs w:val="28"/>
        </w:rPr>
        <w:t>rémunérateurs</w:t>
      </w:r>
      <w:proofErr w:type="spellEnd"/>
      <w:r w:rsidRPr="007A3E77">
        <w:rPr>
          <w:rFonts w:ascii="Georgia" w:hAnsi="Georgia"/>
          <w:i/>
          <w:iCs/>
          <w:color w:val="000000"/>
          <w:sz w:val="28"/>
          <w:szCs w:val="28"/>
        </w:rPr>
        <w:t xml:space="preserve"> est le moyen le plus efficace de lutter contre le gaspillage du foncier agricole </w:t>
      </w:r>
      <w:r w:rsidRPr="007A3E77">
        <w:rPr>
          <w:rFonts w:ascii="Georgia" w:hAnsi="Georgia"/>
          <w:color w:val="000000"/>
          <w:sz w:val="28"/>
          <w:szCs w:val="28"/>
        </w:rPr>
        <w:t xml:space="preserve">». Si la gestion du foncier agricole doit rester sous </w:t>
      </w:r>
      <w:proofErr w:type="spellStart"/>
      <w:r w:rsidRPr="007A3E77">
        <w:rPr>
          <w:rFonts w:ascii="Georgia" w:hAnsi="Georgia"/>
          <w:color w:val="000000"/>
          <w:sz w:val="28"/>
          <w:szCs w:val="28"/>
        </w:rPr>
        <w:t>compétence</w:t>
      </w:r>
      <w:proofErr w:type="spellEnd"/>
      <w:r w:rsidRPr="007A3E77">
        <w:rPr>
          <w:rFonts w:ascii="Georgia" w:hAnsi="Georgia"/>
          <w:color w:val="000000"/>
          <w:sz w:val="28"/>
          <w:szCs w:val="28"/>
        </w:rPr>
        <w:t xml:space="preserve"> de l’agriculture et des agriculteurs, la CR demande cependant </w:t>
      </w:r>
      <w:r w:rsidRPr="007A3E77">
        <w:rPr>
          <w:rFonts w:ascii="Georgia" w:hAnsi="Georgia"/>
          <w:color w:val="000000"/>
          <w:sz w:val="28"/>
          <w:szCs w:val="28"/>
          <w:shd w:val="clear" w:color="auto" w:fill="FFFF00"/>
        </w:rPr>
        <w:t xml:space="preserve">l’ouverture de la gouvernance de la </w:t>
      </w:r>
      <w:proofErr w:type="spellStart"/>
      <w:r w:rsidRPr="007A3E77">
        <w:rPr>
          <w:rFonts w:ascii="Georgia" w:hAnsi="Georgia"/>
          <w:color w:val="000000"/>
          <w:sz w:val="28"/>
          <w:szCs w:val="28"/>
          <w:shd w:val="clear" w:color="auto" w:fill="FFFF00"/>
        </w:rPr>
        <w:t>Safer</w:t>
      </w:r>
      <w:proofErr w:type="spellEnd"/>
      <w:r w:rsidRPr="007A3E77">
        <w:rPr>
          <w:rFonts w:ascii="Georgia" w:hAnsi="Georgia"/>
          <w:color w:val="000000"/>
          <w:sz w:val="28"/>
          <w:szCs w:val="28"/>
          <w:shd w:val="clear" w:color="auto" w:fill="FFFF00"/>
        </w:rPr>
        <w:t>.</w:t>
      </w:r>
    </w:p>
    <w:p w14:paraId="099DA555" w14:textId="52B07E19" w:rsidR="00447FCC" w:rsidRPr="007A3E77" w:rsidRDefault="00447FCC">
      <w:pPr>
        <w:rPr>
          <w:sz w:val="28"/>
          <w:szCs w:val="28"/>
        </w:rPr>
      </w:pPr>
      <w:r w:rsidRPr="007A3E77">
        <w:rPr>
          <w:sz w:val="28"/>
          <w:szCs w:val="28"/>
        </w:rPr>
        <w:br w:type="page"/>
      </w:r>
    </w:p>
    <w:p w14:paraId="4E417581" w14:textId="44637636" w:rsidR="00447FCC" w:rsidRPr="007A3E77" w:rsidRDefault="00447FCC" w:rsidP="00447FCC">
      <w:pPr>
        <w:pStyle w:val="NormalWeb"/>
        <w:shd w:val="clear" w:color="auto" w:fill="FFFFFF"/>
        <w:spacing w:before="216" w:beforeAutospacing="0" w:after="0" w:afterAutospacing="0"/>
        <w:rPr>
          <w:rFonts w:ascii="Georgia" w:hAnsi="Georgia"/>
          <w:sz w:val="28"/>
          <w:szCs w:val="28"/>
        </w:rPr>
      </w:pPr>
      <w:r w:rsidRPr="007A3E77">
        <w:rPr>
          <w:rFonts w:ascii="Georgia" w:hAnsi="Georgia" w:cs="Arial"/>
          <w:b/>
          <w:bCs/>
          <w:color w:val="333333"/>
          <w:sz w:val="28"/>
          <w:szCs w:val="28"/>
        </w:rPr>
        <w:lastRenderedPageBreak/>
        <w:t>Avis relatif à l'élaboration de la Stratégie nationale Alimentation, Nutrition, Climat (SNANC)</w:t>
      </w:r>
      <w:r w:rsidRPr="007A3E77">
        <w:rPr>
          <w:rFonts w:ascii="Georgia" w:hAnsi="Georgia" w:cs="Arial"/>
          <w:b/>
          <w:bCs/>
          <w:color w:val="333333"/>
          <w:sz w:val="28"/>
          <w:szCs w:val="28"/>
        </w:rPr>
        <w:t xml:space="preserve"> </w:t>
      </w:r>
      <w:r w:rsidRPr="007A3E77">
        <w:rPr>
          <w:rFonts w:ascii="Georgia" w:hAnsi="Georgia" w:cs="Arial"/>
          <w:b/>
          <w:bCs/>
          <w:color w:val="333333"/>
          <w:sz w:val="28"/>
          <w:szCs w:val="28"/>
          <w:highlight w:val="yellow"/>
        </w:rPr>
        <w:t>par le HCSP</w:t>
      </w:r>
    </w:p>
    <w:p w14:paraId="4D5293F9" w14:textId="77777777" w:rsidR="00447FCC" w:rsidRPr="007A3E77" w:rsidRDefault="00447FCC" w:rsidP="00447FCC">
      <w:pPr>
        <w:pStyle w:val="NormalWeb"/>
        <w:shd w:val="clear" w:color="auto" w:fill="E8E0E0"/>
        <w:spacing w:before="0" w:beforeAutospacing="0" w:after="0" w:afterAutospacing="0"/>
        <w:rPr>
          <w:rFonts w:ascii="Georgia" w:hAnsi="Georgia"/>
          <w:sz w:val="28"/>
          <w:szCs w:val="28"/>
        </w:rPr>
      </w:pPr>
      <w:r w:rsidRPr="007A3E77">
        <w:rPr>
          <w:rFonts w:ascii="Georgia" w:hAnsi="Georgia" w:cs="Arial"/>
          <w:color w:val="333333"/>
          <w:sz w:val="28"/>
          <w:szCs w:val="28"/>
        </w:rPr>
        <w:t>Date du document : 06/04/2023</w:t>
      </w:r>
    </w:p>
    <w:p w14:paraId="4B6AB9EE" w14:textId="77777777" w:rsidR="00447FCC" w:rsidRPr="007A3E77" w:rsidRDefault="00447FCC" w:rsidP="00447FCC">
      <w:pPr>
        <w:pStyle w:val="NormalWeb"/>
        <w:shd w:val="clear" w:color="auto" w:fill="E8E0E0"/>
        <w:spacing w:before="0" w:beforeAutospacing="0" w:after="0" w:afterAutospacing="0"/>
        <w:jc w:val="right"/>
        <w:rPr>
          <w:rFonts w:ascii="Georgia" w:hAnsi="Georgia"/>
          <w:sz w:val="28"/>
          <w:szCs w:val="28"/>
        </w:rPr>
      </w:pPr>
      <w:proofErr w:type="gramStart"/>
      <w:r w:rsidRPr="007A3E77">
        <w:rPr>
          <w:rFonts w:ascii="Georgia" w:hAnsi="Georgia" w:cs="Arial"/>
          <w:color w:val="333333"/>
          <w:sz w:val="28"/>
          <w:szCs w:val="28"/>
        </w:rPr>
        <w:t>er</w:t>
      </w:r>
      <w:proofErr w:type="gramEnd"/>
    </w:p>
    <w:p w14:paraId="586BCB95" w14:textId="77777777" w:rsidR="00447FCC" w:rsidRPr="007A3E77" w:rsidRDefault="00447FCC" w:rsidP="00447FCC">
      <w:pPr>
        <w:pStyle w:val="NormalWeb"/>
        <w:shd w:val="clear" w:color="auto" w:fill="FFFFFF"/>
        <w:spacing w:before="0" w:beforeAutospacing="0" w:after="0" w:afterAutospacing="0"/>
        <w:rPr>
          <w:rFonts w:ascii="Georgia" w:hAnsi="Georgia"/>
          <w:sz w:val="28"/>
          <w:szCs w:val="28"/>
        </w:rPr>
      </w:pPr>
    </w:p>
    <w:p w14:paraId="3A6DF117" w14:textId="77777777" w:rsidR="00447FCC" w:rsidRPr="007A3E77" w:rsidRDefault="00447FCC" w:rsidP="00447FCC">
      <w:pPr>
        <w:pStyle w:val="NormalWeb"/>
        <w:shd w:val="clear" w:color="auto" w:fill="FFFFFF"/>
        <w:spacing w:before="0" w:beforeAutospacing="0" w:after="0" w:afterAutospacing="0"/>
        <w:rPr>
          <w:rFonts w:ascii="Georgia" w:hAnsi="Georgia"/>
          <w:sz w:val="28"/>
          <w:szCs w:val="28"/>
        </w:rPr>
      </w:pPr>
      <w:r w:rsidRPr="007A3E77">
        <w:rPr>
          <w:rFonts w:ascii="Georgia" w:hAnsi="Georgia" w:cs="Arial"/>
          <w:color w:val="333333"/>
          <w:sz w:val="28"/>
          <w:szCs w:val="28"/>
        </w:rPr>
        <w:t>La loi portant lutte contre le dérèglement climatique et renforcement de la résilience face à ses effets, du 24 août 2021 crée la stratégie nationale pour l’alimentation, la nutrition et le climat (SNANC).</w:t>
      </w:r>
    </w:p>
    <w:p w14:paraId="26C6D0A8" w14:textId="77777777" w:rsidR="00447FCC" w:rsidRPr="007A3E77" w:rsidRDefault="00447FCC" w:rsidP="00447FCC">
      <w:pPr>
        <w:pStyle w:val="NormalWeb"/>
        <w:shd w:val="clear" w:color="auto" w:fill="FFFFFF"/>
        <w:spacing w:before="0" w:beforeAutospacing="0" w:after="0" w:afterAutospacing="0"/>
        <w:rPr>
          <w:rFonts w:ascii="Georgia" w:hAnsi="Georgia"/>
          <w:sz w:val="28"/>
          <w:szCs w:val="28"/>
        </w:rPr>
      </w:pPr>
    </w:p>
    <w:p w14:paraId="343F7395" w14:textId="77777777" w:rsidR="00447FCC" w:rsidRPr="007A3E77" w:rsidRDefault="00447FCC" w:rsidP="00447FCC">
      <w:pPr>
        <w:pStyle w:val="NormalWeb"/>
        <w:shd w:val="clear" w:color="auto" w:fill="FFFFFF"/>
        <w:spacing w:before="0" w:beforeAutospacing="0" w:after="0" w:afterAutospacing="0"/>
        <w:rPr>
          <w:rFonts w:ascii="Georgia" w:hAnsi="Georgia"/>
          <w:sz w:val="28"/>
          <w:szCs w:val="28"/>
        </w:rPr>
      </w:pPr>
      <w:r w:rsidRPr="007A3E77">
        <w:rPr>
          <w:rFonts w:ascii="Georgia" w:hAnsi="Georgia" w:cs="Arial"/>
          <w:color w:val="333333"/>
          <w:sz w:val="28"/>
          <w:szCs w:val="28"/>
        </w:rPr>
        <w:t>Dans le contexte de la mise en place de la SNANC, le Haut Conseil de la santé publique (HCSP) définit les objectifs stratégiques prioritaires de santé publique pouvant servir de base à son élaboration.</w:t>
      </w:r>
    </w:p>
    <w:p w14:paraId="0141D79A" w14:textId="77777777" w:rsidR="00447FCC" w:rsidRPr="007A3E77" w:rsidRDefault="00447FCC" w:rsidP="00447FCC">
      <w:pPr>
        <w:pStyle w:val="NormalWeb"/>
        <w:shd w:val="clear" w:color="auto" w:fill="FFFFFF"/>
        <w:spacing w:before="0" w:beforeAutospacing="0" w:after="0" w:afterAutospacing="0"/>
        <w:rPr>
          <w:rFonts w:ascii="Georgia" w:hAnsi="Georgia"/>
          <w:sz w:val="28"/>
          <w:szCs w:val="28"/>
        </w:rPr>
      </w:pPr>
    </w:p>
    <w:p w14:paraId="55F8D276" w14:textId="77777777" w:rsidR="00447FCC" w:rsidRPr="007A3E77" w:rsidRDefault="00447FCC" w:rsidP="00447FCC">
      <w:pPr>
        <w:pStyle w:val="NormalWeb"/>
        <w:shd w:val="clear" w:color="auto" w:fill="FFFFFF"/>
        <w:spacing w:before="0" w:beforeAutospacing="0" w:after="0" w:afterAutospacing="0"/>
        <w:rPr>
          <w:rFonts w:ascii="Georgia" w:hAnsi="Georgia"/>
          <w:sz w:val="28"/>
          <w:szCs w:val="28"/>
        </w:rPr>
      </w:pPr>
      <w:r w:rsidRPr="007A3E77">
        <w:rPr>
          <w:rFonts w:ascii="Georgia" w:hAnsi="Georgia" w:cs="Arial"/>
          <w:color w:val="333333"/>
          <w:sz w:val="28"/>
          <w:szCs w:val="28"/>
        </w:rPr>
        <w:t>Dans une première partie de l’avis, le HCSP recense les recommandations des avis et rapports précédents en lien avec le champ de la SNANC, qui n’ont pas été mises en œuvre, et qui restent pertinentes dans le contexte actuel.</w:t>
      </w:r>
    </w:p>
    <w:p w14:paraId="45AED674" w14:textId="77777777" w:rsidR="00447FCC" w:rsidRPr="007A3E77" w:rsidRDefault="00447FCC" w:rsidP="00447FCC">
      <w:pPr>
        <w:pStyle w:val="NormalWeb"/>
        <w:shd w:val="clear" w:color="auto" w:fill="FFFFFF"/>
        <w:spacing w:before="0" w:beforeAutospacing="0" w:after="0" w:afterAutospacing="0"/>
        <w:rPr>
          <w:rFonts w:ascii="Georgia" w:hAnsi="Georgia"/>
          <w:sz w:val="28"/>
          <w:szCs w:val="28"/>
        </w:rPr>
      </w:pPr>
    </w:p>
    <w:p w14:paraId="5F66006C" w14:textId="77777777" w:rsidR="00447FCC" w:rsidRPr="007A3E77" w:rsidRDefault="00447FCC" w:rsidP="00447FCC">
      <w:pPr>
        <w:pStyle w:val="NormalWeb"/>
        <w:shd w:val="clear" w:color="auto" w:fill="FFFFFF"/>
        <w:spacing w:before="0" w:beforeAutospacing="0" w:after="0" w:afterAutospacing="0"/>
        <w:rPr>
          <w:rFonts w:ascii="Georgia" w:hAnsi="Georgia"/>
          <w:sz w:val="28"/>
          <w:szCs w:val="28"/>
        </w:rPr>
      </w:pPr>
      <w:r w:rsidRPr="007A3E77">
        <w:rPr>
          <w:rFonts w:ascii="Georgia" w:hAnsi="Georgia" w:cs="Arial"/>
          <w:color w:val="333333"/>
          <w:sz w:val="28"/>
          <w:szCs w:val="28"/>
        </w:rPr>
        <w:t>Dans la seconde partie, le HCSP détaille de nouveaux enjeux de transformation des systèmes alimentaires pour une alimentation saine et durable articulés autour des quatre axes suivants :</w:t>
      </w:r>
    </w:p>
    <w:p w14:paraId="672B18BB" w14:textId="77777777" w:rsidR="00447FCC" w:rsidRPr="007A3E77" w:rsidRDefault="00447FCC" w:rsidP="00447FCC">
      <w:pPr>
        <w:pStyle w:val="NormalWeb"/>
        <w:numPr>
          <w:ilvl w:val="0"/>
          <w:numId w:val="2"/>
        </w:numPr>
        <w:shd w:val="clear" w:color="auto" w:fill="FFFFFF"/>
        <w:spacing w:before="280" w:beforeAutospacing="0" w:after="0" w:afterAutospacing="0"/>
        <w:textAlignment w:val="baseline"/>
        <w:rPr>
          <w:rFonts w:ascii="Georgia" w:hAnsi="Georgia" w:cs="Arial"/>
          <w:color w:val="333333"/>
          <w:sz w:val="28"/>
          <w:szCs w:val="28"/>
        </w:rPr>
      </w:pPr>
      <w:r w:rsidRPr="007A3E77">
        <w:rPr>
          <w:rFonts w:ascii="Georgia" w:hAnsi="Georgia" w:cs="Arial"/>
          <w:color w:val="333333"/>
          <w:sz w:val="28"/>
          <w:szCs w:val="28"/>
          <w:shd w:val="clear" w:color="auto" w:fill="FFFF00"/>
        </w:rPr>
        <w:t>Le renforcement des politiques publiques portant sur l’amélioration de l’environnement nutritionnel (alimentation et activité physique) ;</w:t>
      </w:r>
    </w:p>
    <w:p w14:paraId="7B60B48B" w14:textId="77777777" w:rsidR="00447FCC" w:rsidRPr="007A3E77" w:rsidRDefault="00447FCC" w:rsidP="00447FCC">
      <w:pPr>
        <w:pStyle w:val="NormalWeb"/>
        <w:numPr>
          <w:ilvl w:val="0"/>
          <w:numId w:val="2"/>
        </w:numPr>
        <w:shd w:val="clear" w:color="auto" w:fill="FFFFFF"/>
        <w:spacing w:before="0" w:beforeAutospacing="0" w:after="0" w:afterAutospacing="0"/>
        <w:textAlignment w:val="baseline"/>
        <w:rPr>
          <w:rFonts w:ascii="Georgia" w:hAnsi="Georgia" w:cs="Arial"/>
          <w:color w:val="333333"/>
          <w:sz w:val="28"/>
          <w:szCs w:val="28"/>
        </w:rPr>
      </w:pPr>
      <w:r w:rsidRPr="007A3E77">
        <w:rPr>
          <w:rFonts w:ascii="Georgia" w:hAnsi="Georgia" w:cs="Arial"/>
          <w:color w:val="333333"/>
          <w:sz w:val="28"/>
          <w:szCs w:val="28"/>
          <w:shd w:val="clear" w:color="auto" w:fill="FFFF00"/>
        </w:rPr>
        <w:t>La sécurité alimentaire : une urgence pour lutter contre les inégalités sociales de santé en nutrition dans un contexte de crise climatique ;</w:t>
      </w:r>
    </w:p>
    <w:p w14:paraId="47FB26F1" w14:textId="77777777" w:rsidR="00447FCC" w:rsidRPr="007A3E77" w:rsidRDefault="00447FCC" w:rsidP="00447FCC">
      <w:pPr>
        <w:pStyle w:val="NormalWeb"/>
        <w:numPr>
          <w:ilvl w:val="0"/>
          <w:numId w:val="2"/>
        </w:numPr>
        <w:shd w:val="clear" w:color="auto" w:fill="FFFFFF"/>
        <w:spacing w:before="0" w:beforeAutospacing="0" w:after="0" w:afterAutospacing="0"/>
        <w:textAlignment w:val="baseline"/>
        <w:rPr>
          <w:rFonts w:ascii="Georgia" w:hAnsi="Georgia" w:cs="Arial"/>
          <w:color w:val="333333"/>
          <w:sz w:val="28"/>
          <w:szCs w:val="28"/>
        </w:rPr>
      </w:pPr>
      <w:r w:rsidRPr="007A3E77">
        <w:rPr>
          <w:rFonts w:ascii="Georgia" w:hAnsi="Georgia" w:cs="Arial"/>
          <w:color w:val="333333"/>
          <w:sz w:val="28"/>
          <w:szCs w:val="28"/>
          <w:shd w:val="clear" w:color="auto" w:fill="FFFF00"/>
        </w:rPr>
        <w:t>La convergence entre les différentes dimensions de l’alimentation dans une perspective durable ;</w:t>
      </w:r>
    </w:p>
    <w:p w14:paraId="0911BB81" w14:textId="77777777" w:rsidR="00447FCC" w:rsidRPr="007A3E77" w:rsidRDefault="00447FCC" w:rsidP="00447FCC">
      <w:pPr>
        <w:pStyle w:val="NormalWeb"/>
        <w:numPr>
          <w:ilvl w:val="0"/>
          <w:numId w:val="2"/>
        </w:numPr>
        <w:shd w:val="clear" w:color="auto" w:fill="FFFFFF"/>
        <w:spacing w:before="0" w:beforeAutospacing="0" w:after="280" w:afterAutospacing="0"/>
        <w:textAlignment w:val="baseline"/>
        <w:rPr>
          <w:rFonts w:ascii="Georgia" w:hAnsi="Georgia" w:cs="Arial"/>
          <w:color w:val="333333"/>
          <w:sz w:val="28"/>
          <w:szCs w:val="28"/>
        </w:rPr>
      </w:pPr>
      <w:r w:rsidRPr="007A3E77">
        <w:rPr>
          <w:rFonts w:ascii="Georgia" w:hAnsi="Georgia" w:cs="Arial"/>
          <w:color w:val="333333"/>
          <w:sz w:val="28"/>
          <w:szCs w:val="28"/>
          <w:shd w:val="clear" w:color="auto" w:fill="FFFF00"/>
        </w:rPr>
        <w:t>La gouvernance : un enjeu majeur de lisibilité et de cohérence pour la SNANC.</w:t>
      </w:r>
    </w:p>
    <w:p w14:paraId="0852F013" w14:textId="0BFE8881" w:rsidR="00447FCC" w:rsidRDefault="00447FCC" w:rsidP="00447FCC">
      <w:pPr>
        <w:pStyle w:val="NormalWeb"/>
        <w:shd w:val="clear" w:color="auto" w:fill="FFFFFF"/>
        <w:spacing w:before="0" w:beforeAutospacing="0" w:after="0" w:afterAutospacing="0"/>
        <w:rPr>
          <w:rFonts w:ascii="Georgia" w:hAnsi="Georgia" w:cs="Arial"/>
          <w:b/>
          <w:bCs/>
          <w:color w:val="333333"/>
          <w:sz w:val="28"/>
          <w:szCs w:val="28"/>
        </w:rPr>
      </w:pPr>
      <w:r w:rsidRPr="007A3E77">
        <w:rPr>
          <w:rFonts w:ascii="Georgia" w:hAnsi="Georgia" w:cs="Arial"/>
          <w:b/>
          <w:bCs/>
          <w:color w:val="333333"/>
          <w:sz w:val="28"/>
          <w:szCs w:val="28"/>
        </w:rPr>
        <w:t>Le HCSP appelle les pouvoirs publics à structurer la future SNANC autour des quatre axes ci-dessus et à organiser une expertise scientifique conjointe, exempte de conflits d’intérêts, pour assurer une transformation des systèmes alimentaires à la hauteur des enjeux.</w:t>
      </w:r>
    </w:p>
    <w:p w14:paraId="3EC781CD" w14:textId="06CB6424" w:rsidR="00EE1E7C" w:rsidRDefault="00EE1E7C">
      <w:pPr>
        <w:rPr>
          <w:rFonts w:eastAsia="Times New Roman" w:cs="Arial"/>
          <w:b/>
          <w:bCs/>
          <w:color w:val="333333"/>
          <w:sz w:val="28"/>
          <w:szCs w:val="28"/>
          <w:lang w:eastAsia="fr-FR"/>
        </w:rPr>
      </w:pPr>
      <w:r>
        <w:rPr>
          <w:rFonts w:cs="Arial"/>
          <w:b/>
          <w:bCs/>
          <w:color w:val="333333"/>
          <w:sz w:val="28"/>
          <w:szCs w:val="28"/>
        </w:rPr>
        <w:br w:type="page"/>
      </w:r>
    </w:p>
    <w:p w14:paraId="53B1BE40" w14:textId="77777777" w:rsidR="00EE1E7C" w:rsidRPr="00EE1E7C" w:rsidRDefault="00EE1E7C" w:rsidP="00EE1E7C">
      <w:pPr>
        <w:shd w:val="clear" w:color="auto" w:fill="FFFFFF"/>
        <w:spacing w:after="0" w:line="312" w:lineRule="atLeast"/>
        <w:jc w:val="center"/>
        <w:outlineLvl w:val="1"/>
        <w:rPr>
          <w:rFonts w:eastAsia="Times New Roman" w:cs="Arial"/>
          <w:b/>
          <w:bCs/>
          <w:color w:val="262626"/>
          <w:sz w:val="32"/>
          <w:szCs w:val="32"/>
          <w:lang w:eastAsia="fr-FR"/>
        </w:rPr>
      </w:pPr>
      <w:r w:rsidRPr="00EE1E7C">
        <w:rPr>
          <w:rFonts w:eastAsia="Times New Roman" w:cs="Arial"/>
          <w:b/>
          <w:bCs/>
          <w:color w:val="262626"/>
          <w:sz w:val="32"/>
          <w:szCs w:val="32"/>
          <w:bdr w:val="none" w:sz="0" w:space="0" w:color="auto" w:frame="1"/>
          <w:lang w:eastAsia="fr-FR"/>
        </w:rPr>
        <w:lastRenderedPageBreak/>
        <w:t>Lettre ouverte</w:t>
      </w:r>
      <w:r w:rsidRPr="00EE1E7C">
        <w:rPr>
          <w:rFonts w:eastAsia="Times New Roman" w:cs="Arial"/>
          <w:b/>
          <w:bCs/>
          <w:color w:val="262626"/>
          <w:sz w:val="32"/>
          <w:szCs w:val="32"/>
          <w:bdr w:val="none" w:sz="0" w:space="0" w:color="auto" w:frame="1"/>
          <w:lang w:eastAsia="fr-FR"/>
        </w:rPr>
        <w:br/>
        <w:t>de 70 organisations</w:t>
      </w:r>
      <w:r w:rsidRPr="00EE1E7C">
        <w:rPr>
          <w:rFonts w:eastAsia="Times New Roman" w:cs="Arial"/>
          <w:b/>
          <w:bCs/>
          <w:color w:val="262626"/>
          <w:sz w:val="32"/>
          <w:szCs w:val="32"/>
          <w:bdr w:val="none" w:sz="0" w:space="0" w:color="auto" w:frame="1"/>
          <w:lang w:eastAsia="fr-FR"/>
        </w:rPr>
        <w:br/>
        <w:t>à Élisabeth Borne </w:t>
      </w:r>
    </w:p>
    <w:p w14:paraId="44932B85" w14:textId="77777777" w:rsidR="00EE1E7C" w:rsidRDefault="00EE1E7C" w:rsidP="00EE1E7C">
      <w:pPr>
        <w:shd w:val="clear" w:color="auto" w:fill="FFFFFF"/>
        <w:spacing w:after="0" w:line="240" w:lineRule="auto"/>
        <w:rPr>
          <w:rFonts w:ascii="Times New Roman" w:eastAsia="Times New Roman" w:hAnsi="Times New Roman" w:cs="Times New Roman"/>
          <w:color w:val="262626"/>
          <w:sz w:val="26"/>
          <w:szCs w:val="26"/>
          <w:lang w:eastAsia="fr-FR"/>
        </w:rPr>
      </w:pPr>
    </w:p>
    <w:p w14:paraId="64AC9E03" w14:textId="18B3CB83" w:rsidR="00EE1E7C" w:rsidRPr="00EE1E7C" w:rsidRDefault="00EE1E7C" w:rsidP="00EE1E7C">
      <w:pPr>
        <w:shd w:val="clear" w:color="auto" w:fill="FFFFFF"/>
        <w:spacing w:after="0" w:line="240" w:lineRule="auto"/>
        <w:rPr>
          <w:rFonts w:eastAsia="Times New Roman" w:cs="Times New Roman"/>
          <w:color w:val="262626"/>
          <w:sz w:val="28"/>
          <w:szCs w:val="28"/>
          <w:lang w:eastAsia="fr-FR"/>
        </w:rPr>
      </w:pPr>
      <w:r w:rsidRPr="00EE1E7C">
        <w:rPr>
          <w:rFonts w:eastAsia="Times New Roman" w:cs="Times New Roman"/>
          <w:color w:val="262626"/>
          <w:sz w:val="28"/>
          <w:szCs w:val="28"/>
          <w:lang w:eastAsia="fr-FR"/>
        </w:rPr>
        <w:t>Le gouvernement publie cet été sa Stratégie nationale pour l’alimentation, la nutrition et le climat. Face aux pressions des lobbies agroalimentaires, un collectif de 70 organisations environnementales, de consommateurs, de santé et de solidarité exige une Stratégie à la hauteur des enjeux écologiques, sociaux et de santé publique.</w:t>
      </w:r>
      <w:r w:rsidRPr="00EE1E7C">
        <w:rPr>
          <w:rFonts w:eastAsia="Times New Roman" w:cs="Times New Roman"/>
          <w:color w:val="262626"/>
          <w:sz w:val="28"/>
          <w:szCs w:val="28"/>
          <w:lang w:eastAsia="fr-FR"/>
        </w:rPr>
        <w:br/>
      </w:r>
    </w:p>
    <w:p w14:paraId="4D36BEFE" w14:textId="77777777" w:rsidR="00EE1E7C" w:rsidRPr="00EE1E7C" w:rsidRDefault="00EE1E7C" w:rsidP="00EE1E7C">
      <w:pPr>
        <w:shd w:val="clear" w:color="auto" w:fill="FFFFFF"/>
        <w:spacing w:after="0" w:line="240" w:lineRule="auto"/>
        <w:rPr>
          <w:rFonts w:eastAsia="Times New Roman" w:cs="Times New Roman"/>
          <w:color w:val="262626"/>
          <w:sz w:val="28"/>
          <w:szCs w:val="28"/>
          <w:lang w:eastAsia="fr-FR"/>
        </w:rPr>
      </w:pPr>
      <w:r w:rsidRPr="00EE1E7C">
        <w:rPr>
          <w:rFonts w:eastAsia="Times New Roman" w:cs="Times New Roman"/>
          <w:b/>
          <w:bCs/>
          <w:color w:val="262626"/>
          <w:sz w:val="28"/>
          <w:szCs w:val="28"/>
          <w:bdr w:val="none" w:sz="0" w:space="0" w:color="auto" w:frame="1"/>
          <w:lang w:eastAsia="fr-FR"/>
        </w:rPr>
        <w:t>Lettre ouverte : Il est urgent que l’État régule plus strictement le secteur agroalimentaire pour assurer une alimentation saine et durable à toutes et tous</w:t>
      </w:r>
    </w:p>
    <w:p w14:paraId="4849F150" w14:textId="77777777" w:rsidR="00EE1E7C" w:rsidRPr="00EE1E7C" w:rsidRDefault="00EE1E7C" w:rsidP="00EE1E7C">
      <w:pPr>
        <w:shd w:val="clear" w:color="auto" w:fill="FFFFFF"/>
        <w:spacing w:after="0" w:line="240" w:lineRule="auto"/>
        <w:rPr>
          <w:rFonts w:eastAsia="Times New Roman" w:cs="Times New Roman"/>
          <w:color w:val="262626"/>
          <w:sz w:val="28"/>
          <w:szCs w:val="28"/>
          <w:lang w:eastAsia="fr-FR"/>
        </w:rPr>
      </w:pPr>
      <w:r w:rsidRPr="00EE1E7C">
        <w:rPr>
          <w:rFonts w:eastAsia="Times New Roman" w:cs="Times New Roman"/>
          <w:b/>
          <w:bCs/>
          <w:color w:val="262626"/>
          <w:sz w:val="28"/>
          <w:szCs w:val="28"/>
          <w:bdr w:val="none" w:sz="0" w:space="0" w:color="auto" w:frame="1"/>
          <w:lang w:eastAsia="fr-FR"/>
        </w:rPr>
        <w:t>Madame la Première Ministre,</w:t>
      </w:r>
    </w:p>
    <w:p w14:paraId="57BB5823" w14:textId="77777777" w:rsidR="00EE1E7C" w:rsidRPr="00EE1E7C" w:rsidRDefault="00EE1E7C" w:rsidP="00EE1E7C">
      <w:pPr>
        <w:shd w:val="clear" w:color="auto" w:fill="FFFFFF"/>
        <w:spacing w:after="225" w:line="240" w:lineRule="auto"/>
        <w:rPr>
          <w:rFonts w:eastAsia="Times New Roman" w:cs="Times New Roman"/>
          <w:color w:val="262626"/>
          <w:sz w:val="28"/>
          <w:szCs w:val="28"/>
          <w:lang w:eastAsia="fr-FR"/>
        </w:rPr>
      </w:pPr>
      <w:r w:rsidRPr="00EE1E7C">
        <w:rPr>
          <w:rFonts w:eastAsia="Times New Roman" w:cs="Times New Roman"/>
          <w:color w:val="262626"/>
          <w:sz w:val="28"/>
          <w:szCs w:val="28"/>
          <w:lang w:eastAsia="fr-FR"/>
        </w:rPr>
        <w:t>Le gouvernement définira cet été sa Stratégie nationale pour l’alimentation, la nutrition et le climat (SNANC), qui orientera la politique alimentaire de la France à horizon 2030. Les enjeux sont immenses : notre alimentation joue un rôle majeur dans le changement climatique, l’effondrement de la biodiversité et l’explosion des maladies chroniques non transmissibles (maladies cardiovasculaires, diabète, obésité, cancers, etc.). Ces pathologies frappent en premier lieu les personnes les plus précaires, tandis qu’on estime qu’au moins 8 millions de personnes sont aujourd’hui en situation d’insécurité alimentaire en France.</w:t>
      </w:r>
    </w:p>
    <w:p w14:paraId="49311AE5" w14:textId="77777777" w:rsidR="00EE1E7C" w:rsidRPr="00EE1E7C" w:rsidRDefault="00EE1E7C" w:rsidP="00EE1E7C">
      <w:pPr>
        <w:shd w:val="clear" w:color="auto" w:fill="FFFFFF"/>
        <w:spacing w:after="225" w:line="240" w:lineRule="auto"/>
        <w:rPr>
          <w:rFonts w:eastAsia="Times New Roman" w:cs="Times New Roman"/>
          <w:color w:val="262626"/>
          <w:sz w:val="28"/>
          <w:szCs w:val="28"/>
          <w:lang w:eastAsia="fr-FR"/>
        </w:rPr>
      </w:pPr>
      <w:r w:rsidRPr="00EE1E7C">
        <w:rPr>
          <w:rFonts w:eastAsia="Times New Roman" w:cs="Times New Roman"/>
          <w:color w:val="262626"/>
          <w:sz w:val="28"/>
          <w:szCs w:val="28"/>
          <w:lang w:eastAsia="fr-FR"/>
        </w:rPr>
        <w:t>Les causes de ces problèmes sont connues : intensification des systèmes agricoles et d’élevage, multiplication de l’offre d’aliments ultra-transformés et de produits trop gras, trop sucrés et trop salés, omniprésence de la publicité et du marketing pour des produits de mauvaise qualité nutritionnelle et pour la viande industrielle, exposition aux perturbateurs endocriniens, difficultés d’accès aux fruits et légumes frais et plus largement aux produits biologiques, locaux et de saison… Pourtant, malgré ces facteurs systémiques, les politiques publiques continuent de reposer sur les “engagements volontaires” des entreprises du secteur alimentaire et sur le mythe du “consommateur responsable” qui aurait, à lui seul, le pouvoir de faire évoluer en profondeur les pratiques des géants de la grande distribution et de l’agroalimentaire.</w:t>
      </w:r>
    </w:p>
    <w:p w14:paraId="7BE19768" w14:textId="77777777" w:rsidR="00EE1E7C" w:rsidRPr="00EE1E7C" w:rsidRDefault="00EE1E7C" w:rsidP="00EE1E7C">
      <w:pPr>
        <w:shd w:val="clear" w:color="auto" w:fill="FFFFFF"/>
        <w:spacing w:after="225" w:line="240" w:lineRule="auto"/>
        <w:rPr>
          <w:rFonts w:eastAsia="Times New Roman" w:cs="Times New Roman"/>
          <w:color w:val="262626"/>
          <w:sz w:val="28"/>
          <w:szCs w:val="28"/>
          <w:lang w:eastAsia="fr-FR"/>
        </w:rPr>
      </w:pPr>
      <w:r w:rsidRPr="00EE1E7C">
        <w:rPr>
          <w:rFonts w:eastAsia="Times New Roman" w:cs="Times New Roman"/>
          <w:color w:val="262626"/>
          <w:sz w:val="28"/>
          <w:szCs w:val="28"/>
          <w:lang w:eastAsia="fr-FR"/>
        </w:rPr>
        <w:t xml:space="preserve">Dans ce contexte, nous, sociétés savantes, associations de consommateurs, de familles, de jeunes, de patients et de tous les usagers du système de santé, de paysans, de professionnels de la santé et du médico-social, de protection de l’environnement et du bien-être animal, et acteurs de la solidarité, exhortons le gouvernement à tirer les enseignements de l’échec des politiques passées. Pour ne pas être une </w:t>
      </w:r>
      <w:r w:rsidRPr="00EE1E7C">
        <w:rPr>
          <w:rFonts w:eastAsia="Times New Roman" w:cs="Times New Roman"/>
          <w:color w:val="262626"/>
          <w:sz w:val="28"/>
          <w:szCs w:val="28"/>
          <w:lang w:eastAsia="fr-FR"/>
        </w:rPr>
        <w:lastRenderedPageBreak/>
        <w:t>nouvelle occasion manquée, la Stratégie nationale pour l’alimentation, la nutrition et le climat doit appliquer les recommandations convergentes émises par de multiples instances indépendantes (ANSES, Conseil national de l’alimentation, Cour des comptes, France Stratégie, Santé publique France, etc.) et intégrer les demandes de la société civile.</w:t>
      </w:r>
    </w:p>
    <w:p w14:paraId="187A7748" w14:textId="77777777" w:rsidR="00EE1E7C" w:rsidRPr="00EE1E7C" w:rsidRDefault="00EE1E7C" w:rsidP="00EE1E7C">
      <w:pPr>
        <w:shd w:val="clear" w:color="auto" w:fill="FFFFFF"/>
        <w:spacing w:after="225" w:line="240" w:lineRule="auto"/>
        <w:rPr>
          <w:rFonts w:eastAsia="Times New Roman" w:cs="Times New Roman"/>
          <w:color w:val="262626"/>
          <w:sz w:val="28"/>
          <w:szCs w:val="28"/>
          <w:lang w:eastAsia="fr-FR"/>
        </w:rPr>
      </w:pPr>
      <w:r w:rsidRPr="00EE1E7C">
        <w:rPr>
          <w:rFonts w:eastAsia="Times New Roman" w:cs="Times New Roman"/>
          <w:color w:val="262626"/>
          <w:sz w:val="28"/>
          <w:szCs w:val="28"/>
          <w:lang w:eastAsia="fr-FR"/>
        </w:rPr>
        <w:t>Cette Stratégie doit en premier lieu énoncer clairement des objectifs ambitieux et précis pour la transition de notre alimentation, concernant :</w:t>
      </w:r>
    </w:p>
    <w:p w14:paraId="2D3EBA6F" w14:textId="77777777" w:rsidR="00EE1E7C" w:rsidRPr="00EE1E7C" w:rsidRDefault="00EE1E7C" w:rsidP="00EE1E7C">
      <w:pPr>
        <w:numPr>
          <w:ilvl w:val="0"/>
          <w:numId w:val="5"/>
        </w:numPr>
        <w:shd w:val="clear" w:color="auto" w:fill="FFFFFF"/>
        <w:spacing w:after="0" w:line="240" w:lineRule="auto"/>
        <w:ind w:left="1020"/>
        <w:rPr>
          <w:rFonts w:eastAsia="Times New Roman" w:cs="Times New Roman"/>
          <w:color w:val="262626"/>
          <w:sz w:val="28"/>
          <w:szCs w:val="28"/>
          <w:lang w:eastAsia="fr-FR"/>
        </w:rPr>
      </w:pPr>
      <w:r w:rsidRPr="00EE1E7C">
        <w:rPr>
          <w:rFonts w:eastAsia="Times New Roman" w:cs="Times New Roman"/>
          <w:color w:val="262626"/>
          <w:sz w:val="28"/>
          <w:szCs w:val="28"/>
          <w:lang w:eastAsia="fr-FR"/>
        </w:rPr>
        <w:t>La hausse de la consommation de fruits et légumes frais, de légumineuses, de céréales complètes et de fruits à coque.</w:t>
      </w:r>
    </w:p>
    <w:p w14:paraId="5A82ED6B" w14:textId="77777777" w:rsidR="00EE1E7C" w:rsidRPr="00EE1E7C" w:rsidRDefault="00EE1E7C" w:rsidP="00EE1E7C">
      <w:pPr>
        <w:numPr>
          <w:ilvl w:val="0"/>
          <w:numId w:val="5"/>
        </w:numPr>
        <w:shd w:val="clear" w:color="auto" w:fill="FFFFFF"/>
        <w:spacing w:after="0" w:line="240" w:lineRule="auto"/>
        <w:ind w:left="1020"/>
        <w:rPr>
          <w:rFonts w:eastAsia="Times New Roman" w:cs="Times New Roman"/>
          <w:color w:val="262626"/>
          <w:sz w:val="28"/>
          <w:szCs w:val="28"/>
          <w:lang w:eastAsia="fr-FR"/>
        </w:rPr>
      </w:pPr>
      <w:r w:rsidRPr="00EE1E7C">
        <w:rPr>
          <w:rFonts w:eastAsia="Times New Roman" w:cs="Times New Roman"/>
          <w:color w:val="262626"/>
          <w:sz w:val="28"/>
          <w:szCs w:val="28"/>
          <w:lang w:eastAsia="fr-FR"/>
        </w:rPr>
        <w:t>La hausse de la consommation de produits issus de l’agroécologie, en particulier de produits biologiques et de saison, cultivés et produits en France.</w:t>
      </w:r>
    </w:p>
    <w:p w14:paraId="6BDB0B71" w14:textId="77777777" w:rsidR="00EE1E7C" w:rsidRPr="00EE1E7C" w:rsidRDefault="00EE1E7C" w:rsidP="00EE1E7C">
      <w:pPr>
        <w:numPr>
          <w:ilvl w:val="0"/>
          <w:numId w:val="5"/>
        </w:numPr>
        <w:shd w:val="clear" w:color="auto" w:fill="FFFFFF"/>
        <w:spacing w:after="0" w:line="240" w:lineRule="auto"/>
        <w:ind w:left="1020"/>
        <w:rPr>
          <w:rFonts w:eastAsia="Times New Roman" w:cs="Times New Roman"/>
          <w:color w:val="262626"/>
          <w:sz w:val="28"/>
          <w:szCs w:val="28"/>
          <w:lang w:eastAsia="fr-FR"/>
        </w:rPr>
      </w:pPr>
      <w:r w:rsidRPr="00EE1E7C">
        <w:rPr>
          <w:rFonts w:eastAsia="Times New Roman" w:cs="Times New Roman"/>
          <w:color w:val="262626"/>
          <w:sz w:val="28"/>
          <w:szCs w:val="28"/>
          <w:lang w:eastAsia="fr-FR"/>
        </w:rPr>
        <w:t>La baisse de la consommation de produits trop gras, trop sucrés et trop salés, ainsi que celle de produits ultra-transformés.</w:t>
      </w:r>
    </w:p>
    <w:p w14:paraId="4D52EBA1" w14:textId="77777777" w:rsidR="00EE1E7C" w:rsidRPr="00EE1E7C" w:rsidRDefault="00EE1E7C" w:rsidP="00EE1E7C">
      <w:pPr>
        <w:numPr>
          <w:ilvl w:val="0"/>
          <w:numId w:val="5"/>
        </w:numPr>
        <w:shd w:val="clear" w:color="auto" w:fill="FFFFFF"/>
        <w:spacing w:after="0" w:line="240" w:lineRule="auto"/>
        <w:ind w:left="1020"/>
        <w:rPr>
          <w:rFonts w:eastAsia="Times New Roman" w:cs="Times New Roman"/>
          <w:color w:val="262626"/>
          <w:sz w:val="28"/>
          <w:szCs w:val="28"/>
          <w:lang w:eastAsia="fr-FR"/>
        </w:rPr>
      </w:pPr>
      <w:r w:rsidRPr="00EE1E7C">
        <w:rPr>
          <w:rFonts w:eastAsia="Times New Roman" w:cs="Times New Roman"/>
          <w:color w:val="262626"/>
          <w:sz w:val="28"/>
          <w:szCs w:val="28"/>
          <w:lang w:eastAsia="fr-FR"/>
        </w:rPr>
        <w:t>La baisse de la consommation globale de viande (volaille incluse) et de produits laitiers.</w:t>
      </w:r>
    </w:p>
    <w:p w14:paraId="012669D1" w14:textId="77777777" w:rsidR="00EE1E7C" w:rsidRPr="00EE1E7C" w:rsidRDefault="00EE1E7C" w:rsidP="00EE1E7C">
      <w:pPr>
        <w:shd w:val="clear" w:color="auto" w:fill="FFFFFF"/>
        <w:spacing w:after="225" w:line="240" w:lineRule="auto"/>
        <w:rPr>
          <w:rFonts w:eastAsia="Times New Roman" w:cs="Times New Roman"/>
          <w:color w:val="262626"/>
          <w:sz w:val="28"/>
          <w:szCs w:val="28"/>
          <w:lang w:eastAsia="fr-FR"/>
        </w:rPr>
      </w:pPr>
      <w:r w:rsidRPr="00EE1E7C">
        <w:rPr>
          <w:rFonts w:eastAsia="Times New Roman" w:cs="Times New Roman"/>
          <w:color w:val="262626"/>
          <w:sz w:val="28"/>
          <w:szCs w:val="28"/>
          <w:lang w:eastAsia="fr-FR"/>
        </w:rPr>
        <w:t>Pour atteindre ces objectifs, il est indispensable que la Stratégie nationale pour l’alimentation, la nutrition et le climat planifie des politiques structurelles tout au long de la chaîne de valeur alimentaire, de la production agricole et agroalimentaire à la consommation en passant par la distribution et la restauration hors-domicile. Elle doit en particulier :</w:t>
      </w:r>
    </w:p>
    <w:p w14:paraId="39B620BD" w14:textId="77777777" w:rsidR="00EE1E7C" w:rsidRPr="00EE1E7C" w:rsidRDefault="00EE1E7C" w:rsidP="00EE1E7C">
      <w:pPr>
        <w:numPr>
          <w:ilvl w:val="0"/>
          <w:numId w:val="6"/>
        </w:numPr>
        <w:shd w:val="clear" w:color="auto" w:fill="FFFFFF"/>
        <w:spacing w:after="0" w:line="240" w:lineRule="auto"/>
        <w:ind w:left="1020"/>
        <w:rPr>
          <w:rFonts w:eastAsia="Times New Roman" w:cs="Times New Roman"/>
          <w:color w:val="262626"/>
          <w:sz w:val="28"/>
          <w:szCs w:val="28"/>
          <w:lang w:eastAsia="fr-FR"/>
        </w:rPr>
      </w:pPr>
      <w:r w:rsidRPr="00EE1E7C">
        <w:rPr>
          <w:rFonts w:eastAsia="Times New Roman" w:cs="Times New Roman"/>
          <w:color w:val="262626"/>
          <w:sz w:val="28"/>
          <w:szCs w:val="28"/>
          <w:lang w:eastAsia="fr-FR"/>
        </w:rPr>
        <w:t>Faire de l’accès de toutes et tous à une alimentation saine et durable une priorité et mettre en place des mesures concrètes pour atteindre cet objectif, notamment en donnant le pouvoir d’agir aux populations les plus précaires socialement.</w:t>
      </w:r>
    </w:p>
    <w:p w14:paraId="1B12B3C7" w14:textId="77777777" w:rsidR="00EE1E7C" w:rsidRPr="00EE1E7C" w:rsidRDefault="00EE1E7C" w:rsidP="00EE1E7C">
      <w:pPr>
        <w:numPr>
          <w:ilvl w:val="0"/>
          <w:numId w:val="6"/>
        </w:numPr>
        <w:shd w:val="clear" w:color="auto" w:fill="FFFFFF"/>
        <w:spacing w:after="0" w:line="240" w:lineRule="auto"/>
        <w:ind w:left="1020"/>
        <w:rPr>
          <w:rFonts w:eastAsia="Times New Roman" w:cs="Times New Roman"/>
          <w:color w:val="262626"/>
          <w:sz w:val="28"/>
          <w:szCs w:val="28"/>
          <w:lang w:eastAsia="fr-FR"/>
        </w:rPr>
      </w:pPr>
      <w:r w:rsidRPr="00EE1E7C">
        <w:rPr>
          <w:rFonts w:eastAsia="Times New Roman" w:cs="Times New Roman"/>
          <w:color w:val="262626"/>
          <w:sz w:val="28"/>
          <w:szCs w:val="28"/>
          <w:lang w:eastAsia="fr-FR"/>
        </w:rPr>
        <w:t>Renforcer le soutien économique au secteur de la restauration collective ainsi qu’aux agriculteurs et agricultrices pour les accompagner dans la transition.</w:t>
      </w:r>
    </w:p>
    <w:p w14:paraId="37879250" w14:textId="77777777" w:rsidR="00EE1E7C" w:rsidRPr="00EE1E7C" w:rsidRDefault="00EE1E7C" w:rsidP="00EE1E7C">
      <w:pPr>
        <w:numPr>
          <w:ilvl w:val="0"/>
          <w:numId w:val="6"/>
        </w:numPr>
        <w:shd w:val="clear" w:color="auto" w:fill="FFFFFF"/>
        <w:spacing w:after="0" w:line="240" w:lineRule="auto"/>
        <w:ind w:left="1020"/>
        <w:rPr>
          <w:rFonts w:eastAsia="Times New Roman" w:cs="Times New Roman"/>
          <w:color w:val="262626"/>
          <w:sz w:val="28"/>
          <w:szCs w:val="28"/>
          <w:lang w:eastAsia="fr-FR"/>
        </w:rPr>
      </w:pPr>
      <w:r w:rsidRPr="00EE1E7C">
        <w:rPr>
          <w:rFonts w:eastAsia="Times New Roman" w:cs="Times New Roman"/>
          <w:color w:val="262626"/>
          <w:sz w:val="28"/>
          <w:szCs w:val="28"/>
          <w:lang w:eastAsia="fr-FR"/>
        </w:rPr>
        <w:t>Programmer des mesures contraignantes pour améliorer l’offre et l’environnement alimentaires, incluant en priorité l’interdiction de la publicité pour les produits nocifs pour la santé et pour la planète, l’obligation du Nutri-score, l’encadrement des marges de la grande distribution et la mise en place d’un véritable étiquetage environnemental indiquant également le mode d’élevage.</w:t>
      </w:r>
    </w:p>
    <w:p w14:paraId="6704E9AB" w14:textId="77777777" w:rsidR="00EE1E7C" w:rsidRPr="00EE1E7C" w:rsidRDefault="00EE1E7C" w:rsidP="00EE1E7C">
      <w:pPr>
        <w:numPr>
          <w:ilvl w:val="0"/>
          <w:numId w:val="6"/>
        </w:numPr>
        <w:shd w:val="clear" w:color="auto" w:fill="FFFFFF"/>
        <w:spacing w:after="0" w:line="240" w:lineRule="auto"/>
        <w:ind w:left="1020"/>
        <w:rPr>
          <w:rFonts w:eastAsia="Times New Roman" w:cs="Times New Roman"/>
          <w:color w:val="262626"/>
          <w:sz w:val="28"/>
          <w:szCs w:val="28"/>
          <w:lang w:eastAsia="fr-FR"/>
        </w:rPr>
      </w:pPr>
      <w:r w:rsidRPr="00EE1E7C">
        <w:rPr>
          <w:rFonts w:eastAsia="Times New Roman" w:cs="Times New Roman"/>
          <w:color w:val="262626"/>
          <w:sz w:val="28"/>
          <w:szCs w:val="28"/>
          <w:lang w:eastAsia="fr-FR"/>
        </w:rPr>
        <w:t>Augmenter les moyens dédiés à l’éducation (en milieu scolaire en particulier), à la formation des professionnels de santé et à la sensibilisation de l’ensemble de la population à l’alimentation saine et durable.</w:t>
      </w:r>
    </w:p>
    <w:p w14:paraId="42852075" w14:textId="77777777" w:rsidR="00EE1E7C" w:rsidRPr="00EE1E7C" w:rsidRDefault="00EE1E7C" w:rsidP="00EE1E7C">
      <w:pPr>
        <w:shd w:val="clear" w:color="auto" w:fill="FFFFFF"/>
        <w:spacing w:after="225" w:line="240" w:lineRule="auto"/>
        <w:rPr>
          <w:rFonts w:eastAsia="Times New Roman" w:cs="Times New Roman"/>
          <w:color w:val="262626"/>
          <w:sz w:val="28"/>
          <w:szCs w:val="28"/>
          <w:lang w:eastAsia="fr-FR"/>
        </w:rPr>
      </w:pPr>
      <w:r w:rsidRPr="00EE1E7C">
        <w:rPr>
          <w:rFonts w:eastAsia="Times New Roman" w:cs="Times New Roman"/>
          <w:color w:val="262626"/>
          <w:sz w:val="28"/>
          <w:szCs w:val="28"/>
          <w:lang w:eastAsia="fr-FR"/>
        </w:rPr>
        <w:t xml:space="preserve">La nécessaire transition vers une alimentation durable ne pourra se faire sans mobiliser et accompagner tous les citoyens et citoyennes et </w:t>
      </w:r>
      <w:r w:rsidRPr="00EE1E7C">
        <w:rPr>
          <w:rFonts w:eastAsia="Times New Roman" w:cs="Times New Roman"/>
          <w:color w:val="262626"/>
          <w:sz w:val="28"/>
          <w:szCs w:val="28"/>
          <w:lang w:eastAsia="fr-FR"/>
        </w:rPr>
        <w:lastRenderedPageBreak/>
        <w:t>l’ensemble des acteurs agricoles, de l’agroalimentaire et de la distribution alimentaire. Nous appelons donc le gouvernement à résister à la pression de certains lobbies agricoles et agroalimentaires et à suivre les recommandations partagées par les scientifiques et la société civile pour que la Stratégie nationale pour l’alimentation, la nutrition et le climat soit à la hauteur des enjeux écologiques, de justice sociale et de santé publique, dans l’intérêt des citoyens et citoyennes et des générations futures.</w:t>
      </w:r>
    </w:p>
    <w:p w14:paraId="083B1275" w14:textId="77777777" w:rsidR="00EE1E7C" w:rsidRPr="00EE1E7C" w:rsidRDefault="00EE1E7C" w:rsidP="00EE1E7C">
      <w:pPr>
        <w:shd w:val="clear" w:color="auto" w:fill="FFFFFF"/>
        <w:spacing w:after="0" w:line="240" w:lineRule="auto"/>
        <w:rPr>
          <w:rFonts w:eastAsia="Times New Roman" w:cs="Times New Roman"/>
          <w:color w:val="262626"/>
          <w:sz w:val="28"/>
          <w:szCs w:val="28"/>
          <w:lang w:eastAsia="fr-FR"/>
        </w:rPr>
      </w:pPr>
      <w:r w:rsidRPr="00EE1E7C">
        <w:rPr>
          <w:rFonts w:eastAsia="Times New Roman" w:cs="Times New Roman"/>
          <w:b/>
          <w:bCs/>
          <w:i/>
          <w:iCs/>
          <w:color w:val="262626"/>
          <w:sz w:val="28"/>
          <w:szCs w:val="28"/>
          <w:bdr w:val="none" w:sz="0" w:space="0" w:color="auto" w:frame="1"/>
          <w:lang w:eastAsia="fr-FR"/>
        </w:rPr>
        <w:t>Réseau action climat 15 mai 2023</w:t>
      </w:r>
    </w:p>
    <w:p w14:paraId="43CD78FE" w14:textId="77777777" w:rsidR="00EE1E7C" w:rsidRPr="00EE1E7C" w:rsidRDefault="00EE1E7C" w:rsidP="00447FCC">
      <w:pPr>
        <w:pStyle w:val="NormalWeb"/>
        <w:shd w:val="clear" w:color="auto" w:fill="FFFFFF"/>
        <w:spacing w:before="0" w:beforeAutospacing="0" w:after="0" w:afterAutospacing="0"/>
        <w:rPr>
          <w:rFonts w:ascii="Georgia" w:hAnsi="Georgia"/>
          <w:sz w:val="32"/>
          <w:szCs w:val="32"/>
        </w:rPr>
      </w:pPr>
    </w:p>
    <w:sectPr w:rsidR="00EE1E7C" w:rsidRPr="00EE1E7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8B62F" w14:textId="77777777" w:rsidR="005D775A" w:rsidRDefault="005D775A" w:rsidP="00F00ADB">
      <w:pPr>
        <w:spacing w:after="0" w:line="240" w:lineRule="auto"/>
      </w:pPr>
      <w:r>
        <w:separator/>
      </w:r>
    </w:p>
  </w:endnote>
  <w:endnote w:type="continuationSeparator" w:id="0">
    <w:p w14:paraId="690A4FF2" w14:textId="77777777" w:rsidR="005D775A" w:rsidRDefault="005D775A" w:rsidP="00F0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DF50" w14:textId="66AC52B1" w:rsidR="00F00ADB" w:rsidRDefault="00F00ADB">
    <w:pPr>
      <w:pStyle w:val="Pieddepage"/>
    </w:pPr>
    <w:r>
      <w:rPr>
        <w:noProof/>
        <w:color w:val="4472C4" w:themeColor="accent1"/>
      </w:rPr>
      <mc:AlternateContent>
        <mc:Choice Requires="wps">
          <w:drawing>
            <wp:anchor distT="0" distB="0" distL="114300" distR="114300" simplePos="0" relativeHeight="251659264" behindDoc="0" locked="0" layoutInCell="1" allowOverlap="1" wp14:anchorId="2DD9A609" wp14:editId="11C36A0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BA8CD50"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sidR="007A3E77">
      <w:rPr>
        <w:rFonts w:asciiTheme="majorHAnsi" w:eastAsiaTheme="majorEastAsia" w:hAnsiTheme="majorHAnsi" w:cstheme="majorBidi"/>
        <w:color w:val="4472C4" w:themeColor="accent1"/>
        <w:sz w:val="20"/>
        <w:szCs w:val="20"/>
      </w:rPr>
      <w:t xml:space="preserve">                                            </w:t>
    </w:r>
    <w:r>
      <w:rPr>
        <w:rFonts w:asciiTheme="majorHAnsi" w:eastAsiaTheme="majorEastAsia" w:hAnsiTheme="majorHAnsi" w:cstheme="majorBidi"/>
        <w:color w:val="4472C4" w:themeColor="accent1"/>
        <w:sz w:val="20"/>
        <w:szCs w:val="20"/>
      </w:rPr>
      <w:t xml:space="preserve"> Critiques et propositions à la SNANC – Différentes orga – juin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5581" w14:textId="77777777" w:rsidR="005D775A" w:rsidRDefault="005D775A" w:rsidP="00F00ADB">
      <w:pPr>
        <w:spacing w:after="0" w:line="240" w:lineRule="auto"/>
      </w:pPr>
      <w:r>
        <w:separator/>
      </w:r>
    </w:p>
  </w:footnote>
  <w:footnote w:type="continuationSeparator" w:id="0">
    <w:p w14:paraId="6857AB1C" w14:textId="77777777" w:rsidR="005D775A" w:rsidRDefault="005D775A" w:rsidP="00F00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025F1"/>
    <w:multiLevelType w:val="multilevel"/>
    <w:tmpl w:val="AAF8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C6B0B"/>
    <w:multiLevelType w:val="multilevel"/>
    <w:tmpl w:val="A018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65CA2"/>
    <w:multiLevelType w:val="hybridMultilevel"/>
    <w:tmpl w:val="E92E2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881A0A"/>
    <w:multiLevelType w:val="multilevel"/>
    <w:tmpl w:val="564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416C2"/>
    <w:multiLevelType w:val="multilevel"/>
    <w:tmpl w:val="8E28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257EA8"/>
    <w:multiLevelType w:val="hybridMultilevel"/>
    <w:tmpl w:val="898C5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20"/>
    <w:rsid w:val="00447FCC"/>
    <w:rsid w:val="005D775A"/>
    <w:rsid w:val="007A3E77"/>
    <w:rsid w:val="00AE64DF"/>
    <w:rsid w:val="00C04420"/>
    <w:rsid w:val="00EE1E7C"/>
    <w:rsid w:val="00F00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BCB6"/>
  <w15:chartTrackingRefBased/>
  <w15:docId w15:val="{D9CA0F53-20FF-4547-9DA1-924C7D7C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E1E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0ADB"/>
    <w:pPr>
      <w:tabs>
        <w:tab w:val="center" w:pos="4536"/>
        <w:tab w:val="right" w:pos="9072"/>
      </w:tabs>
      <w:spacing w:after="0" w:line="240" w:lineRule="auto"/>
    </w:pPr>
  </w:style>
  <w:style w:type="character" w:customStyle="1" w:styleId="En-tteCar">
    <w:name w:val="En-tête Car"/>
    <w:basedOn w:val="Policepardfaut"/>
    <w:link w:val="En-tte"/>
    <w:uiPriority w:val="99"/>
    <w:rsid w:val="00F00ADB"/>
  </w:style>
  <w:style w:type="paragraph" w:styleId="Pieddepage">
    <w:name w:val="footer"/>
    <w:basedOn w:val="Normal"/>
    <w:link w:val="PieddepageCar"/>
    <w:uiPriority w:val="99"/>
    <w:unhideWhenUsed/>
    <w:rsid w:val="00F00A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ADB"/>
  </w:style>
  <w:style w:type="paragraph" w:styleId="NormalWeb">
    <w:name w:val="Normal (Web)"/>
    <w:basedOn w:val="Normal"/>
    <w:uiPriority w:val="99"/>
    <w:semiHidden/>
    <w:unhideWhenUsed/>
    <w:rsid w:val="00447FCC"/>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ienhypertexte">
    <w:name w:val="Hyperlink"/>
    <w:basedOn w:val="Policepardfaut"/>
    <w:uiPriority w:val="99"/>
    <w:semiHidden/>
    <w:unhideWhenUsed/>
    <w:rsid w:val="00447FCC"/>
    <w:rPr>
      <w:color w:val="0000FF"/>
      <w:u w:val="single"/>
    </w:rPr>
  </w:style>
  <w:style w:type="paragraph" w:styleId="Paragraphedeliste">
    <w:name w:val="List Paragraph"/>
    <w:basedOn w:val="Normal"/>
    <w:uiPriority w:val="34"/>
    <w:qFormat/>
    <w:rsid w:val="00447FCC"/>
    <w:pPr>
      <w:ind w:left="720"/>
      <w:contextualSpacing/>
    </w:pPr>
  </w:style>
  <w:style w:type="character" w:styleId="lev">
    <w:name w:val="Strong"/>
    <w:basedOn w:val="Policepardfaut"/>
    <w:uiPriority w:val="22"/>
    <w:qFormat/>
    <w:rsid w:val="00EE1E7C"/>
    <w:rPr>
      <w:b/>
      <w:bCs/>
    </w:rPr>
  </w:style>
  <w:style w:type="character" w:customStyle="1" w:styleId="Titre2Car">
    <w:name w:val="Titre 2 Car"/>
    <w:basedOn w:val="Policepardfaut"/>
    <w:link w:val="Titre2"/>
    <w:uiPriority w:val="9"/>
    <w:rsid w:val="00EE1E7C"/>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6479">
      <w:bodyDiv w:val="1"/>
      <w:marLeft w:val="0"/>
      <w:marRight w:val="0"/>
      <w:marTop w:val="0"/>
      <w:marBottom w:val="0"/>
      <w:divBdr>
        <w:top w:val="none" w:sz="0" w:space="0" w:color="auto"/>
        <w:left w:val="none" w:sz="0" w:space="0" w:color="auto"/>
        <w:bottom w:val="none" w:sz="0" w:space="0" w:color="auto"/>
        <w:right w:val="none" w:sz="0" w:space="0" w:color="auto"/>
      </w:divBdr>
    </w:div>
    <w:div w:id="171990506">
      <w:bodyDiv w:val="1"/>
      <w:marLeft w:val="0"/>
      <w:marRight w:val="0"/>
      <w:marTop w:val="0"/>
      <w:marBottom w:val="0"/>
      <w:divBdr>
        <w:top w:val="none" w:sz="0" w:space="0" w:color="auto"/>
        <w:left w:val="none" w:sz="0" w:space="0" w:color="auto"/>
        <w:bottom w:val="none" w:sz="0" w:space="0" w:color="auto"/>
        <w:right w:val="none" w:sz="0" w:space="0" w:color="auto"/>
      </w:divBdr>
    </w:div>
    <w:div w:id="1043482089">
      <w:bodyDiv w:val="1"/>
      <w:marLeft w:val="0"/>
      <w:marRight w:val="0"/>
      <w:marTop w:val="0"/>
      <w:marBottom w:val="0"/>
      <w:divBdr>
        <w:top w:val="none" w:sz="0" w:space="0" w:color="auto"/>
        <w:left w:val="none" w:sz="0" w:space="0" w:color="auto"/>
        <w:bottom w:val="none" w:sz="0" w:space="0" w:color="auto"/>
        <w:right w:val="none" w:sz="0" w:space="0" w:color="auto"/>
      </w:divBdr>
    </w:div>
    <w:div w:id="1683584721">
      <w:bodyDiv w:val="1"/>
      <w:marLeft w:val="0"/>
      <w:marRight w:val="0"/>
      <w:marTop w:val="0"/>
      <w:marBottom w:val="0"/>
      <w:divBdr>
        <w:top w:val="none" w:sz="0" w:space="0" w:color="auto"/>
        <w:left w:val="none" w:sz="0" w:space="0" w:color="auto"/>
        <w:bottom w:val="none" w:sz="0" w:space="0" w:color="auto"/>
        <w:right w:val="none" w:sz="0" w:space="0" w:color="auto"/>
      </w:divBdr>
    </w:div>
    <w:div w:id="19300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einchamp.com/actualite/vers-une-alimentation-climato-compatible" TargetMode="External"/><Relationship Id="rId3" Type="http://schemas.openxmlformats.org/officeDocument/2006/relationships/settings" Target="settings.xml"/><Relationship Id="rId7" Type="http://schemas.openxmlformats.org/officeDocument/2006/relationships/hyperlink" Target="https://www.pleinchamp.com/nos-partenaires/pleincham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leinchamp.com/actualite/la-loi-climat-et-les-engrais-l-artificialisation-les-cantines-le-bioga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3542</Words>
  <Characters>19485</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2023-06-26T04:05:00Z</cp:lastPrinted>
  <dcterms:created xsi:type="dcterms:W3CDTF">2023-06-26T03:19:00Z</dcterms:created>
  <dcterms:modified xsi:type="dcterms:W3CDTF">2023-06-26T04:05:00Z</dcterms:modified>
</cp:coreProperties>
</file>