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2" w:type="dxa"/>
        <w:jc w:val="center"/>
        <w:tblBorders>
          <w:top w:val="single" w:sz="18" w:space="0" w:color="FA2828"/>
          <w:left w:val="single" w:sz="18" w:space="0" w:color="FA2828"/>
          <w:bottom w:val="single" w:sz="18" w:space="0" w:color="FA2828"/>
          <w:right w:val="single" w:sz="18" w:space="0" w:color="FA2828"/>
        </w:tblBorders>
        <w:tblCellMar>
          <w:left w:w="0" w:type="dxa"/>
          <w:right w:w="0" w:type="dxa"/>
        </w:tblCellMar>
        <w:tblLook w:val="0000" w:firstRow="0" w:lastRow="0" w:firstColumn="0" w:lastColumn="0" w:noHBand="0" w:noVBand="0"/>
      </w:tblPr>
      <w:tblGrid>
        <w:gridCol w:w="1134"/>
        <w:gridCol w:w="1587"/>
        <w:gridCol w:w="1191"/>
        <w:gridCol w:w="1594"/>
        <w:gridCol w:w="4076"/>
      </w:tblGrid>
      <w:tr w:rsidR="008B1CC8" w:rsidRPr="001B216B" w14:paraId="11ACD362" w14:textId="77777777" w:rsidTr="00D12469">
        <w:trPr>
          <w:jc w:val="center"/>
        </w:trPr>
        <w:tc>
          <w:tcPr>
            <w:tcW w:w="1134" w:type="dxa"/>
            <w:vAlign w:val="center"/>
          </w:tcPr>
          <w:p w14:paraId="01E0C7EA" w14:textId="77777777" w:rsidR="008B1CC8" w:rsidRPr="001B216B" w:rsidRDefault="008B1CC8">
            <w:pPr>
              <w:spacing w:before="0" w:line="228" w:lineRule="auto"/>
              <w:ind w:left="0"/>
              <w:jc w:val="left"/>
              <w:rPr>
                <w:rFonts w:ascii="Calibri" w:eastAsia="Calibri" w:hAnsi="Calibri"/>
                <w:i w:val="0"/>
                <w:iCs w:val="0"/>
                <w:sz w:val="22"/>
                <w:szCs w:val="22"/>
              </w:rPr>
            </w:pPr>
            <w:r w:rsidRPr="001B216B">
              <w:rPr>
                <w:rFonts w:ascii="Calibri" w:eastAsia="Calibri" w:hAnsi="Calibri"/>
                <w:i w:val="0"/>
                <w:iCs w:val="0"/>
                <w:noProof/>
                <w:sz w:val="22"/>
                <w:szCs w:val="22"/>
              </w:rPr>
              <w:drawing>
                <wp:inline distT="0" distB="0" distL="0" distR="0" wp14:anchorId="2E36085C" wp14:editId="69EB6CEA">
                  <wp:extent cx="652145" cy="902335"/>
                  <wp:effectExtent l="0" t="0" r="0" b="0"/>
                  <wp:docPr id="1052787764" name="Image 1052787764"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63801" name="Image 1" descr="Une image contenant texte, logo, Police, Graphiqu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902335"/>
                          </a:xfrm>
                          <a:prstGeom prst="rect">
                            <a:avLst/>
                          </a:prstGeom>
                          <a:noFill/>
                        </pic:spPr>
                      </pic:pic>
                    </a:graphicData>
                  </a:graphic>
                </wp:inline>
              </w:drawing>
            </w:r>
          </w:p>
        </w:tc>
        <w:tc>
          <w:tcPr>
            <w:tcW w:w="1587" w:type="dxa"/>
            <w:shd w:val="clear" w:color="auto" w:fill="FED4D4"/>
            <w:vAlign w:val="center"/>
          </w:tcPr>
          <w:p w14:paraId="2762031F" w14:textId="77777777" w:rsidR="008B1CC8" w:rsidRPr="001B216B" w:rsidRDefault="008B1CC8">
            <w:pPr>
              <w:spacing w:before="0" w:line="228" w:lineRule="auto"/>
              <w:ind w:left="0"/>
              <w:jc w:val="left"/>
              <w:rPr>
                <w:rFonts w:ascii="Arial" w:eastAsia="Calibri" w:hAnsi="Arial" w:cs="Arial"/>
                <w:b/>
                <w:bCs/>
                <w:i w:val="0"/>
                <w:iCs w:val="0"/>
                <w:color w:val="FA2828"/>
                <w:sz w:val="22"/>
                <w:szCs w:val="22"/>
              </w:rPr>
            </w:pPr>
            <w:r w:rsidRPr="001B216B">
              <w:rPr>
                <w:rFonts w:ascii="Arial" w:eastAsia="Calibri" w:hAnsi="Arial" w:cs="Arial"/>
                <w:b/>
                <w:bCs/>
                <w:i w:val="0"/>
                <w:iCs w:val="0"/>
                <w:color w:val="FA2828"/>
                <w:sz w:val="32"/>
                <w:szCs w:val="32"/>
              </w:rPr>
              <w:t>Question-</w:t>
            </w:r>
            <w:r w:rsidRPr="001B216B">
              <w:rPr>
                <w:rFonts w:ascii="Arial" w:eastAsia="Calibri" w:hAnsi="Arial" w:cs="Arial"/>
                <w:b/>
                <w:bCs/>
                <w:i w:val="0"/>
                <w:iCs w:val="0"/>
                <w:color w:val="FA2828"/>
                <w:sz w:val="32"/>
                <w:szCs w:val="32"/>
                <w:lang w:eastAsia="fr-FR"/>
              </w:rPr>
              <w:t>Réponse</w:t>
            </w:r>
          </w:p>
        </w:tc>
        <w:tc>
          <w:tcPr>
            <w:tcW w:w="1191" w:type="dxa"/>
            <w:shd w:val="clear" w:color="auto" w:fill="FED4D4"/>
            <w:vAlign w:val="center"/>
          </w:tcPr>
          <w:p w14:paraId="761E8F0F" w14:textId="1F1BF9BA" w:rsidR="008B1CC8" w:rsidRPr="001B216B" w:rsidRDefault="00E264EA">
            <w:pPr>
              <w:spacing w:before="0" w:line="228" w:lineRule="auto"/>
              <w:ind w:left="0"/>
              <w:jc w:val="left"/>
              <w:rPr>
                <w:rFonts w:ascii="Arial" w:eastAsia="Calibri" w:hAnsi="Arial" w:cs="Arial"/>
                <w:i w:val="0"/>
                <w:iCs w:val="0"/>
                <w:color w:val="FA2828"/>
                <w:sz w:val="28"/>
                <w:szCs w:val="28"/>
              </w:rPr>
            </w:pPr>
            <w:r>
              <w:rPr>
                <w:rFonts w:ascii="Arial" w:eastAsia="Calibri" w:hAnsi="Arial" w:cs="Arial"/>
                <w:color w:val="FA2828"/>
                <w:sz w:val="28"/>
                <w:szCs w:val="28"/>
              </w:rPr>
              <w:t>2</w:t>
            </w:r>
            <w:r w:rsidR="00D96C74">
              <w:rPr>
                <w:rFonts w:ascii="Arial" w:eastAsia="Calibri" w:hAnsi="Arial" w:cs="Arial"/>
                <w:color w:val="FA2828"/>
                <w:sz w:val="28"/>
                <w:szCs w:val="28"/>
              </w:rPr>
              <w:t>0</w:t>
            </w:r>
            <w:r w:rsidR="00636739" w:rsidRPr="00636739">
              <w:rPr>
                <w:rFonts w:ascii="Arial" w:eastAsia="Calibri" w:hAnsi="Arial" w:cs="Arial"/>
                <w:color w:val="FA2828"/>
                <w:sz w:val="28"/>
                <w:szCs w:val="28"/>
              </w:rPr>
              <w:t>/</w:t>
            </w:r>
            <w:r w:rsidR="00F64128">
              <w:rPr>
                <w:rFonts w:ascii="Arial" w:eastAsia="Calibri" w:hAnsi="Arial" w:cs="Arial"/>
                <w:color w:val="FA2828"/>
                <w:sz w:val="28"/>
                <w:szCs w:val="28"/>
              </w:rPr>
              <w:t>01</w:t>
            </w:r>
            <w:r w:rsidR="00636739" w:rsidRPr="00636739">
              <w:rPr>
                <w:rFonts w:ascii="Arial" w:eastAsia="Calibri" w:hAnsi="Arial" w:cs="Arial"/>
                <w:color w:val="FA2828"/>
                <w:sz w:val="28"/>
                <w:szCs w:val="28"/>
              </w:rPr>
              <w:t>/2</w:t>
            </w:r>
            <w:r w:rsidR="00F64128">
              <w:rPr>
                <w:rFonts w:ascii="Arial" w:eastAsia="Calibri" w:hAnsi="Arial" w:cs="Arial"/>
                <w:color w:val="FA2828"/>
                <w:sz w:val="28"/>
                <w:szCs w:val="28"/>
              </w:rPr>
              <w:t>5</w:t>
            </w:r>
            <w:r w:rsidR="007E081D">
              <w:rPr>
                <w:rFonts w:ascii="Arial" w:eastAsia="Calibri" w:hAnsi="Arial" w:cs="Arial"/>
                <w:color w:val="FA2828"/>
                <w:sz w:val="28"/>
                <w:szCs w:val="28"/>
              </w:rPr>
              <w:br/>
            </w:r>
            <w:r w:rsidR="00752C54">
              <w:rPr>
                <w:rFonts w:ascii="Arial" w:eastAsia="Calibri" w:hAnsi="Arial" w:cs="Arial"/>
                <w:color w:val="FA2828"/>
                <w:sz w:val="28"/>
                <w:szCs w:val="28"/>
              </w:rPr>
              <w:t>2</w:t>
            </w:r>
            <w:r w:rsidR="00F64128">
              <w:rPr>
                <w:rFonts w:ascii="Arial" w:eastAsia="Calibri" w:hAnsi="Arial" w:cs="Arial"/>
                <w:color w:val="FA2828"/>
                <w:sz w:val="28"/>
                <w:szCs w:val="28"/>
              </w:rPr>
              <w:t>1</w:t>
            </w:r>
            <w:r w:rsidR="00636739" w:rsidRPr="00636739">
              <w:rPr>
                <w:rFonts w:ascii="Arial" w:eastAsia="Calibri" w:hAnsi="Arial" w:cs="Arial"/>
                <w:color w:val="FA2828"/>
                <w:sz w:val="28"/>
                <w:szCs w:val="28"/>
              </w:rPr>
              <w:t>/</w:t>
            </w:r>
            <w:r w:rsidR="00F64128">
              <w:rPr>
                <w:rFonts w:ascii="Arial" w:eastAsia="Calibri" w:hAnsi="Arial" w:cs="Arial"/>
                <w:color w:val="FA2828"/>
                <w:sz w:val="28"/>
                <w:szCs w:val="28"/>
              </w:rPr>
              <w:t>01</w:t>
            </w:r>
            <w:r w:rsidR="00636739" w:rsidRPr="00636739">
              <w:rPr>
                <w:rFonts w:ascii="Arial" w:eastAsia="Calibri" w:hAnsi="Arial" w:cs="Arial"/>
                <w:color w:val="FA2828"/>
                <w:sz w:val="28"/>
                <w:szCs w:val="28"/>
              </w:rPr>
              <w:t>/2</w:t>
            </w:r>
            <w:r w:rsidR="00F64128">
              <w:rPr>
                <w:rFonts w:ascii="Arial" w:eastAsia="Calibri" w:hAnsi="Arial" w:cs="Arial"/>
                <w:color w:val="FA2828"/>
                <w:sz w:val="28"/>
                <w:szCs w:val="28"/>
              </w:rPr>
              <w:t>5</w:t>
            </w:r>
          </w:p>
        </w:tc>
        <w:tc>
          <w:tcPr>
            <w:tcW w:w="1594" w:type="dxa"/>
            <w:vAlign w:val="center"/>
          </w:tcPr>
          <w:p w14:paraId="0D631848" w14:textId="77777777" w:rsidR="00841FE2" w:rsidRPr="001B216B" w:rsidRDefault="008B1CC8">
            <w:pPr>
              <w:keepNext/>
              <w:keepLines/>
              <w:spacing w:before="0" w:line="228" w:lineRule="auto"/>
              <w:ind w:left="0"/>
              <w:jc w:val="left"/>
              <w:outlineLvl w:val="0"/>
              <w:rPr>
                <w:rFonts w:ascii="Arial" w:eastAsia="Arial Unicode MS" w:hAnsi="Arial" w:cs="Arial"/>
                <w:b/>
                <w:bCs/>
                <w:iCs w:val="0"/>
                <w:color w:val="FA2828"/>
                <w:spacing w:val="20"/>
                <w:sz w:val="28"/>
                <w:szCs w:val="28"/>
                <w14:textOutline w14:w="12700" w14:cap="flat" w14:cmpd="sng" w14:algn="ctr">
                  <w14:noFill/>
                  <w14:prstDash w14:val="solid"/>
                  <w14:round/>
                </w14:textOutline>
              </w:rPr>
            </w:pPr>
            <w:r w:rsidRPr="001B216B">
              <w:rPr>
                <w:rFonts w:ascii="Gill Sans MT" w:eastAsia="Arial Unicode MS" w:hAnsi="Gill Sans MT" w:cs="Arial"/>
                <w:b/>
                <w:bCs/>
                <w:iCs w:val="0"/>
                <w:color w:val="FA2828"/>
                <w:spacing w:val="20"/>
                <w:sz w:val="32"/>
                <w:szCs w:val="32"/>
                <w14:textOutline w14:w="12700" w14:cap="flat" w14:cmpd="sng" w14:algn="ctr">
                  <w14:noFill/>
                  <w14:prstDash w14:val="solid"/>
                  <w14:round/>
                </w14:textOutline>
              </w:rPr>
              <w:t>Thèmes</w:t>
            </w:r>
          </w:p>
        </w:tc>
        <w:tc>
          <w:tcPr>
            <w:tcW w:w="4076" w:type="dxa"/>
            <w:vAlign w:val="center"/>
          </w:tcPr>
          <w:p w14:paraId="5FE7EC8A" w14:textId="159D1048" w:rsidR="009B6C21" w:rsidRDefault="00DE7E18" w:rsidP="00435FC2">
            <w:pPr>
              <w:numPr>
                <w:ilvl w:val="0"/>
                <w:numId w:val="7"/>
              </w:numPr>
              <w:spacing w:before="0" w:line="228" w:lineRule="auto"/>
              <w:ind w:left="284" w:hanging="284"/>
              <w:jc w:val="left"/>
              <w:rPr>
                <w:rFonts w:ascii="Calibri" w:eastAsia="Calibri" w:hAnsi="Calibri"/>
                <w:i w:val="0"/>
                <w:iCs w:val="0"/>
                <w:lang w:eastAsia="hi-IN" w:bidi="hi-IN"/>
              </w:rPr>
            </w:pPr>
            <w:r>
              <w:rPr>
                <w:rFonts w:ascii="Calibri" w:eastAsia="Calibri" w:hAnsi="Calibri"/>
                <w:i w:val="0"/>
                <w:iCs w:val="0"/>
                <w:lang w:eastAsia="hi-IN" w:bidi="hi-IN"/>
              </w:rPr>
              <w:t>Réhabilitation</w:t>
            </w:r>
          </w:p>
          <w:p w14:paraId="3F8AFB81" w14:textId="2E7A5BF6" w:rsidR="007C0C6B" w:rsidRDefault="00DE7E18" w:rsidP="00435FC2">
            <w:pPr>
              <w:numPr>
                <w:ilvl w:val="0"/>
                <w:numId w:val="7"/>
              </w:numPr>
              <w:spacing w:before="0" w:line="228" w:lineRule="auto"/>
              <w:ind w:left="284" w:hanging="284"/>
              <w:jc w:val="left"/>
              <w:rPr>
                <w:rFonts w:ascii="Calibri" w:eastAsia="Calibri" w:hAnsi="Calibri"/>
                <w:i w:val="0"/>
                <w:iCs w:val="0"/>
                <w:lang w:eastAsia="hi-IN" w:bidi="hi-IN"/>
              </w:rPr>
            </w:pPr>
            <w:r>
              <w:rPr>
                <w:rFonts w:ascii="Calibri" w:eastAsia="Calibri" w:hAnsi="Calibri"/>
                <w:i w:val="0"/>
                <w:iCs w:val="0"/>
                <w:lang w:eastAsia="hi-IN" w:bidi="hi-IN"/>
              </w:rPr>
              <w:t>Prêts conventionnés</w:t>
            </w:r>
          </w:p>
          <w:p w14:paraId="2C9FA9A6" w14:textId="580A9D62" w:rsidR="007C0C6B" w:rsidRDefault="00DE7E18" w:rsidP="00435FC2">
            <w:pPr>
              <w:numPr>
                <w:ilvl w:val="0"/>
                <w:numId w:val="7"/>
              </w:numPr>
              <w:spacing w:before="0" w:line="228" w:lineRule="auto"/>
              <w:ind w:left="284" w:hanging="284"/>
              <w:jc w:val="left"/>
              <w:rPr>
                <w:rFonts w:ascii="Calibri" w:eastAsia="Calibri" w:hAnsi="Calibri"/>
                <w:i w:val="0"/>
                <w:iCs w:val="0"/>
                <w:lang w:eastAsia="hi-IN" w:bidi="hi-IN"/>
              </w:rPr>
            </w:pPr>
            <w:r>
              <w:rPr>
                <w:rFonts w:ascii="Calibri" w:eastAsia="Calibri" w:hAnsi="Calibri"/>
                <w:i w:val="0"/>
                <w:iCs w:val="0"/>
                <w:lang w:eastAsia="hi-IN" w:bidi="hi-IN"/>
              </w:rPr>
              <w:t>Surface corrigée, surface habitable</w:t>
            </w:r>
          </w:p>
          <w:p w14:paraId="01E6E35B" w14:textId="59E08B82" w:rsidR="00F96910" w:rsidRPr="001B216B" w:rsidRDefault="00DE7E18" w:rsidP="00435FC2">
            <w:pPr>
              <w:numPr>
                <w:ilvl w:val="0"/>
                <w:numId w:val="7"/>
              </w:numPr>
              <w:spacing w:before="0" w:line="228" w:lineRule="auto"/>
              <w:ind w:left="284" w:hanging="284"/>
              <w:jc w:val="left"/>
              <w:rPr>
                <w:rFonts w:ascii="Calibri" w:eastAsia="Calibri" w:hAnsi="Calibri"/>
                <w:i w:val="0"/>
                <w:iCs w:val="0"/>
                <w:lang w:eastAsia="hi-IN" w:bidi="hi-IN"/>
              </w:rPr>
            </w:pPr>
            <w:r>
              <w:rPr>
                <w:rFonts w:ascii="Calibri" w:eastAsia="Calibri" w:hAnsi="Calibri"/>
                <w:i w:val="0"/>
                <w:iCs w:val="0"/>
                <w:lang w:eastAsia="hi-IN" w:bidi="hi-IN"/>
              </w:rPr>
              <w:t>Avenant au bail</w:t>
            </w:r>
          </w:p>
        </w:tc>
      </w:tr>
    </w:tbl>
    <w:p w14:paraId="113D6054" w14:textId="48D0FB98" w:rsidR="0072775B" w:rsidRDefault="000B72EF" w:rsidP="00F40F7C">
      <w:pPr>
        <w:pStyle w:val="Titre1"/>
      </w:pPr>
      <w:r w:rsidRPr="009A4E3A">
        <w:t>Question</w:t>
      </w:r>
      <w:r w:rsidR="00063248">
        <w:t> :</w:t>
      </w:r>
    </w:p>
    <w:p w14:paraId="197B89B5" w14:textId="77777777" w:rsidR="00E264EA" w:rsidRPr="00F40F7C" w:rsidRDefault="00E264EA" w:rsidP="00C45CDB">
      <w:pPr>
        <w:spacing w:before="100" w:line="228" w:lineRule="auto"/>
        <w:ind w:left="284"/>
        <w:rPr>
          <w:i w:val="0"/>
          <w:iCs w:val="0"/>
        </w:rPr>
      </w:pPr>
      <w:r w:rsidRPr="00F40F7C">
        <w:rPr>
          <w:i w:val="0"/>
          <w:iCs w:val="0"/>
        </w:rPr>
        <w:t>Un militant a sollicité Indecosa-CGT Ile-de-France en ces termes :</w:t>
      </w:r>
    </w:p>
    <w:p w14:paraId="3A6544EB" w14:textId="0F482559" w:rsidR="00F64128" w:rsidRPr="00F64128" w:rsidRDefault="00E264EA" w:rsidP="00421D36">
      <w:pPr>
        <w:spacing w:line="228" w:lineRule="auto"/>
        <w:ind w:hanging="284"/>
        <w:rPr>
          <w:color w:val="781E78" w:themeColor="accent3"/>
        </w:rPr>
      </w:pPr>
      <w:r w:rsidRPr="00F40F7C">
        <w:rPr>
          <w:i w:val="0"/>
          <w:iCs w:val="0"/>
        </w:rPr>
        <w:t>« </w:t>
      </w:r>
      <w:r w:rsidRPr="00F40F7C">
        <w:rPr>
          <w:i w:val="0"/>
          <w:iCs w:val="0"/>
        </w:rPr>
        <w:tab/>
      </w:r>
      <w:r w:rsidR="00F64128" w:rsidRPr="00F64128">
        <w:rPr>
          <w:color w:val="781E78" w:themeColor="accent3"/>
        </w:rPr>
        <w:t>Je suis élue CGT et j'aurai besoin d'informations concernant mon logement conventionné PCL.</w:t>
      </w:r>
    </w:p>
    <w:p w14:paraId="5A11B27A" w14:textId="347831D1" w:rsidR="00F64128" w:rsidRPr="00F64128" w:rsidRDefault="00F64128" w:rsidP="00421D36">
      <w:pPr>
        <w:spacing w:before="40" w:line="221" w:lineRule="auto"/>
        <w:rPr>
          <w:color w:val="781E78" w:themeColor="accent3"/>
        </w:rPr>
      </w:pPr>
      <w:r w:rsidRPr="00F64128">
        <w:rPr>
          <w:color w:val="781E78" w:themeColor="accent3"/>
        </w:rPr>
        <w:t xml:space="preserve">Le bailleur </w:t>
      </w:r>
      <w:r>
        <w:rPr>
          <w:color w:val="781E78" w:themeColor="accent3"/>
        </w:rPr>
        <w:t xml:space="preserve">[ndlr : un OPH] </w:t>
      </w:r>
      <w:r w:rsidRPr="00F64128">
        <w:rPr>
          <w:color w:val="781E78" w:themeColor="accent3"/>
        </w:rPr>
        <w:t>veut faire des travaux de réhabilitations sur 4 immeubles (façades + halls + intérieurs et faire supporter le coût (11 millions) en appliquant une hausse des loyers à l'issue de ceux-ci.</w:t>
      </w:r>
    </w:p>
    <w:p w14:paraId="73F8DA9E" w14:textId="77777777" w:rsidR="00F64128" w:rsidRPr="00F64128" w:rsidRDefault="00F64128" w:rsidP="00421D36">
      <w:pPr>
        <w:spacing w:before="40" w:line="221" w:lineRule="auto"/>
        <w:rPr>
          <w:color w:val="781E78" w:themeColor="accent3"/>
        </w:rPr>
      </w:pPr>
      <w:r w:rsidRPr="00F64128">
        <w:rPr>
          <w:color w:val="781E78" w:themeColor="accent3"/>
        </w:rPr>
        <w:t>Ceci sera soumis à un vote le 22 janvier.</w:t>
      </w:r>
    </w:p>
    <w:p w14:paraId="2CE7D99C" w14:textId="7C11A062" w:rsidR="00F64128" w:rsidRPr="00F64128" w:rsidRDefault="00F64128" w:rsidP="00421D36">
      <w:pPr>
        <w:spacing w:before="40" w:line="221" w:lineRule="auto"/>
        <w:rPr>
          <w:color w:val="781E78" w:themeColor="accent3"/>
        </w:rPr>
      </w:pPr>
      <w:r w:rsidRPr="00F64128">
        <w:rPr>
          <w:color w:val="781E78" w:themeColor="accent3"/>
        </w:rPr>
        <w:t>Cependant, pour certains la hausse est de l'ordre de 500</w:t>
      </w:r>
      <w:r w:rsidR="002F14B3">
        <w:rPr>
          <w:color w:val="781E78" w:themeColor="accent3"/>
        </w:rPr>
        <w:t> </w:t>
      </w:r>
      <w:r w:rsidRPr="00F64128">
        <w:rPr>
          <w:color w:val="781E78" w:themeColor="accent3"/>
        </w:rPr>
        <w:t>€ par mois</w:t>
      </w:r>
      <w:r>
        <w:rPr>
          <w:color w:val="781E78" w:themeColor="accent3"/>
        </w:rPr>
        <w:t> !</w:t>
      </w:r>
    </w:p>
    <w:p w14:paraId="5593F30A" w14:textId="1591B255" w:rsidR="00F64128" w:rsidRPr="00F64128" w:rsidRDefault="00F64128" w:rsidP="00421D36">
      <w:pPr>
        <w:spacing w:before="40" w:line="221" w:lineRule="auto"/>
        <w:rPr>
          <w:color w:val="781E78" w:themeColor="accent3"/>
        </w:rPr>
      </w:pPr>
      <w:r w:rsidRPr="00F64128">
        <w:rPr>
          <w:color w:val="781E78" w:themeColor="accent3"/>
        </w:rPr>
        <w:t>Ont-ils le droit d'appliquer une telle hausse dans la mesure où les loyers sont encadrés</w:t>
      </w:r>
      <w:r>
        <w:rPr>
          <w:color w:val="781E78" w:themeColor="accent3"/>
        </w:rPr>
        <w:t> ?</w:t>
      </w:r>
    </w:p>
    <w:p w14:paraId="27DF9768" w14:textId="5ABCD288" w:rsidR="00F64128" w:rsidRPr="00F64128" w:rsidRDefault="00F64128" w:rsidP="00421D36">
      <w:pPr>
        <w:spacing w:before="40" w:line="221" w:lineRule="auto"/>
        <w:rPr>
          <w:color w:val="781E78" w:themeColor="accent3"/>
        </w:rPr>
      </w:pPr>
      <w:r w:rsidRPr="00F64128">
        <w:rPr>
          <w:color w:val="781E78" w:themeColor="accent3"/>
        </w:rPr>
        <w:t>De plus, est-il normal de supporter le coût des travaux d'un autre immeuble (il y en a 4)</w:t>
      </w:r>
      <w:r>
        <w:rPr>
          <w:color w:val="781E78" w:themeColor="accent3"/>
        </w:rPr>
        <w:t> ?</w:t>
      </w:r>
    </w:p>
    <w:p w14:paraId="47C04347" w14:textId="77777777" w:rsidR="00F64128" w:rsidRPr="00F64128" w:rsidRDefault="00F64128" w:rsidP="00421D36">
      <w:pPr>
        <w:spacing w:before="40" w:line="221" w:lineRule="auto"/>
        <w:rPr>
          <w:color w:val="781E78" w:themeColor="accent3"/>
        </w:rPr>
      </w:pPr>
      <w:r w:rsidRPr="00F64128">
        <w:rPr>
          <w:color w:val="781E78" w:themeColor="accent3"/>
        </w:rPr>
        <w:t>Les surfaces corrigées sont disproportionnées (j'ai un 50 m2 et une surface corrigée de 98 m2), le barème est donc bien plus élevé que sur du réel.</w:t>
      </w:r>
    </w:p>
    <w:p w14:paraId="3378973C" w14:textId="27DCC34E" w:rsidR="00E264EA" w:rsidRPr="00F40F7C" w:rsidRDefault="00F64128" w:rsidP="00421D36">
      <w:pPr>
        <w:spacing w:before="40" w:line="221" w:lineRule="auto"/>
        <w:rPr>
          <w:i w:val="0"/>
          <w:iCs w:val="0"/>
        </w:rPr>
      </w:pPr>
      <w:r w:rsidRPr="00F64128">
        <w:rPr>
          <w:color w:val="781E78" w:themeColor="accent3"/>
        </w:rPr>
        <w:t>Doit-on avoir un avenant au bail</w:t>
      </w:r>
      <w:r>
        <w:rPr>
          <w:color w:val="781E78" w:themeColor="accent3"/>
        </w:rPr>
        <w:t> ?</w:t>
      </w:r>
      <w:r w:rsidR="00E264EA" w:rsidRPr="00F40F7C">
        <w:rPr>
          <w:color w:val="781E78" w:themeColor="accent3"/>
        </w:rPr>
        <w:t> </w:t>
      </w:r>
      <w:r w:rsidR="00E264EA" w:rsidRPr="00F40F7C">
        <w:rPr>
          <w:i w:val="0"/>
          <w:iCs w:val="0"/>
        </w:rPr>
        <w:t>»</w:t>
      </w:r>
    </w:p>
    <w:p w14:paraId="6D58DDC3" w14:textId="733F510F" w:rsidR="00E264EA" w:rsidRPr="00F40F7C" w:rsidRDefault="00E264EA" w:rsidP="00C45CDB">
      <w:pPr>
        <w:spacing w:before="100" w:line="228" w:lineRule="auto"/>
        <w:ind w:left="284"/>
        <w:rPr>
          <w:i w:val="0"/>
          <w:iCs w:val="0"/>
        </w:rPr>
      </w:pPr>
      <w:r w:rsidRPr="00F40F7C">
        <w:rPr>
          <w:i w:val="0"/>
          <w:iCs w:val="0"/>
        </w:rPr>
        <w:t>Il résulte de cette demande, deux questions à traiter :</w:t>
      </w:r>
    </w:p>
    <w:p w14:paraId="5AC3BD83" w14:textId="71A6F3E7" w:rsidR="00E264EA" w:rsidRPr="00F40F7C" w:rsidRDefault="00F40F7C" w:rsidP="002F5942">
      <w:pPr>
        <w:spacing w:line="228" w:lineRule="auto"/>
        <w:ind w:left="851" w:hanging="142"/>
        <w:rPr>
          <w:i w:val="0"/>
          <w:iCs w:val="0"/>
        </w:rPr>
      </w:pPr>
      <w:r>
        <w:rPr>
          <w:i w:val="0"/>
          <w:iCs w:val="0"/>
          <w:color w:val="C83232" w:themeColor="accent2"/>
        </w:rPr>
        <w:sym w:font="Wingdings" w:char="F0A7"/>
      </w:r>
      <w:r w:rsidR="00E264EA" w:rsidRPr="00F40F7C">
        <w:rPr>
          <w:i w:val="0"/>
          <w:iCs w:val="0"/>
          <w:color w:val="C83232" w:themeColor="accent2"/>
        </w:rPr>
        <w:tab/>
      </w:r>
      <w:r w:rsidR="00F64128">
        <w:rPr>
          <w:i w:val="0"/>
          <w:iCs w:val="0"/>
        </w:rPr>
        <w:t>Qu’est-ce qu’un logement conventionné PCL</w:t>
      </w:r>
      <w:r w:rsidR="00E264EA" w:rsidRPr="00F40F7C">
        <w:rPr>
          <w:i w:val="0"/>
          <w:iCs w:val="0"/>
        </w:rPr>
        <w:t> ?</w:t>
      </w:r>
    </w:p>
    <w:p w14:paraId="4BF12F15" w14:textId="2DADA3CA" w:rsidR="00E264EA" w:rsidRDefault="00F40F7C" w:rsidP="002F5942">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00F64128">
        <w:rPr>
          <w:i w:val="0"/>
          <w:iCs w:val="0"/>
        </w:rPr>
        <w:t>Quelles sont les procédures contraignant un bailleur en cas de réhabilitation</w:t>
      </w:r>
      <w:r w:rsidR="00E264EA" w:rsidRPr="00F40F7C">
        <w:rPr>
          <w:i w:val="0"/>
          <w:iCs w:val="0"/>
        </w:rPr>
        <w:t> ?</w:t>
      </w:r>
    </w:p>
    <w:p w14:paraId="09CC73FD" w14:textId="6980385F" w:rsidR="00F64128" w:rsidRPr="00F64128" w:rsidRDefault="00F64128" w:rsidP="002F5942">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F64128">
        <w:rPr>
          <w:i w:val="0"/>
          <w:iCs w:val="0"/>
        </w:rPr>
        <w:t xml:space="preserve">Y a-t-il un cadre </w:t>
      </w:r>
      <w:r w:rsidR="004337D0">
        <w:rPr>
          <w:i w:val="0"/>
          <w:iCs w:val="0"/>
        </w:rPr>
        <w:t>pour</w:t>
      </w:r>
      <w:r w:rsidRPr="00F64128">
        <w:rPr>
          <w:i w:val="0"/>
          <w:iCs w:val="0"/>
        </w:rPr>
        <w:t xml:space="preserve"> une hausse de loyers en cas de réhabilitation ?</w:t>
      </w:r>
    </w:p>
    <w:p w14:paraId="291A346E" w14:textId="101BC1C6" w:rsidR="00F64128" w:rsidRPr="00F64128" w:rsidRDefault="00F64128" w:rsidP="002F5942">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F64128">
        <w:rPr>
          <w:i w:val="0"/>
          <w:iCs w:val="0"/>
        </w:rPr>
        <w:t>Lorsque des travaux concernent plusieurs immeubles, sont-ils à considérer comme une seule opération subissant les mêmes conséquences ?</w:t>
      </w:r>
    </w:p>
    <w:p w14:paraId="2E01786E" w14:textId="1F9DE0B7" w:rsidR="00F64128" w:rsidRPr="00F64128" w:rsidRDefault="00F64128" w:rsidP="002F5942">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F64128">
        <w:rPr>
          <w:i w:val="0"/>
          <w:iCs w:val="0"/>
        </w:rPr>
        <w:t>Quel est le rapport entre surfaces corrigées et surfaces habitables ?</w:t>
      </w:r>
    </w:p>
    <w:p w14:paraId="7B8B95B7" w14:textId="07C0326A" w:rsidR="00F64128" w:rsidRPr="00F40F7C" w:rsidRDefault="00F64128" w:rsidP="002F5942">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F64128">
        <w:rPr>
          <w:i w:val="0"/>
          <w:iCs w:val="0"/>
        </w:rPr>
        <w:t xml:space="preserve">Doit-on avoir un </w:t>
      </w:r>
      <w:bookmarkStart w:id="0" w:name="_Hlk188357375"/>
      <w:r w:rsidRPr="00F64128">
        <w:rPr>
          <w:i w:val="0"/>
          <w:iCs w:val="0"/>
        </w:rPr>
        <w:t xml:space="preserve">avenant au bail </w:t>
      </w:r>
      <w:r>
        <w:rPr>
          <w:i w:val="0"/>
          <w:iCs w:val="0"/>
        </w:rPr>
        <w:t>à l’issue d’une réhabilitation</w:t>
      </w:r>
      <w:bookmarkEnd w:id="0"/>
      <w:r>
        <w:rPr>
          <w:i w:val="0"/>
          <w:iCs w:val="0"/>
        </w:rPr>
        <w:t xml:space="preserve"> entraînant une augmentation de loyer ?</w:t>
      </w:r>
    </w:p>
    <w:p w14:paraId="786364A1" w14:textId="3BB55E73" w:rsidR="000B72EF" w:rsidRPr="00464C95" w:rsidRDefault="009A4E3A" w:rsidP="00F40F7C">
      <w:pPr>
        <w:pStyle w:val="Titre1"/>
      </w:pPr>
      <w:r>
        <w:t>R</w:t>
      </w:r>
      <w:r w:rsidR="000B72EF" w:rsidRPr="00EA3970">
        <w:t>éponse</w:t>
      </w:r>
      <w:r w:rsidR="00063248">
        <w:t> :</w:t>
      </w:r>
    </w:p>
    <w:p w14:paraId="43B34243" w14:textId="112083BE" w:rsidR="006B3FA3" w:rsidRDefault="003373B7" w:rsidP="004337D0">
      <w:pPr>
        <w:pStyle w:val="Titre2"/>
      </w:pPr>
      <w:bookmarkStart w:id="1" w:name="_Hlk156998613"/>
      <w:r>
        <w:t>Le l</w:t>
      </w:r>
      <w:r w:rsidR="00DE7E18" w:rsidRPr="00DE7E18">
        <w:t>ogement conventionné PCL</w:t>
      </w:r>
      <w:r w:rsidR="00DE7E18">
        <w:t> ?</w:t>
      </w:r>
    </w:p>
    <w:p w14:paraId="09446A59" w14:textId="59B1A9FB" w:rsidR="00DE7E18" w:rsidRDefault="00DE7E18" w:rsidP="00C45CDB">
      <w:pPr>
        <w:spacing w:before="100" w:line="228" w:lineRule="auto"/>
        <w:ind w:left="284"/>
        <w:rPr>
          <w:rFonts w:ascii="Calibri" w:eastAsia="Calibri" w:hAnsi="Calibri"/>
          <w:i w:val="0"/>
          <w:iCs w:val="0"/>
        </w:rPr>
      </w:pPr>
      <w:r>
        <w:rPr>
          <w:rFonts w:ascii="Calibri" w:eastAsia="Calibri" w:hAnsi="Calibri"/>
          <w:i w:val="0"/>
          <w:iCs w:val="0"/>
        </w:rPr>
        <w:t xml:space="preserve">Le sigle </w:t>
      </w:r>
      <w:r w:rsidRPr="00AF28EF">
        <w:rPr>
          <w:rFonts w:ascii="Calibri" w:eastAsia="Calibri" w:hAnsi="Calibri"/>
          <w:b/>
          <w:bCs/>
          <w:i w:val="0"/>
          <w:iCs w:val="0"/>
          <w:color w:val="781E78" w:themeColor="accent3"/>
        </w:rPr>
        <w:t>PCL</w:t>
      </w:r>
      <w:r w:rsidRPr="00AF28EF">
        <w:rPr>
          <w:rFonts w:ascii="Calibri" w:eastAsia="Calibri" w:hAnsi="Calibri"/>
          <w:i w:val="0"/>
          <w:iCs w:val="0"/>
          <w:color w:val="781E78" w:themeColor="accent3"/>
        </w:rPr>
        <w:t xml:space="preserve"> </w:t>
      </w:r>
      <w:r>
        <w:rPr>
          <w:rFonts w:ascii="Calibri" w:eastAsia="Calibri" w:hAnsi="Calibri"/>
          <w:i w:val="0"/>
          <w:iCs w:val="0"/>
        </w:rPr>
        <w:t>indique un prêt conventionné locatif. Cela veut dire que la construction du logement, ou plus tard sa réhabilitation, ont bénéficié d’u</w:t>
      </w:r>
      <w:r w:rsidRPr="00DE7E18">
        <w:rPr>
          <w:rFonts w:ascii="Calibri" w:eastAsia="Calibri" w:hAnsi="Calibri"/>
          <w:i w:val="0"/>
          <w:iCs w:val="0"/>
        </w:rPr>
        <w:t>n prêt réglementé</w:t>
      </w:r>
      <w:r w:rsidR="00421D36">
        <w:rPr>
          <w:rFonts w:ascii="Calibri" w:eastAsia="Calibri" w:hAnsi="Calibri"/>
          <w:i w:val="0"/>
          <w:iCs w:val="0"/>
        </w:rPr>
        <w:t>, c</w:t>
      </w:r>
      <w:r w:rsidRPr="00DE7E18">
        <w:rPr>
          <w:rFonts w:ascii="Calibri" w:eastAsia="Calibri" w:hAnsi="Calibri"/>
          <w:i w:val="0"/>
          <w:iCs w:val="0"/>
        </w:rPr>
        <w:t xml:space="preserve">’est-à-dire soumis à des conditions d’obtention </w:t>
      </w:r>
      <w:r w:rsidR="00421D36">
        <w:rPr>
          <w:rFonts w:ascii="Calibri" w:eastAsia="Calibri" w:hAnsi="Calibri"/>
          <w:i w:val="0"/>
          <w:iCs w:val="0"/>
        </w:rPr>
        <w:t xml:space="preserve">qui </w:t>
      </w:r>
      <w:r w:rsidRPr="00DE7E18">
        <w:rPr>
          <w:rFonts w:ascii="Calibri" w:eastAsia="Calibri" w:hAnsi="Calibri"/>
          <w:i w:val="0"/>
          <w:iCs w:val="0"/>
        </w:rPr>
        <w:t>engage chacune de ces trois parties</w:t>
      </w:r>
      <w:r w:rsidR="00AF28EF">
        <w:rPr>
          <w:rFonts w:ascii="Calibri" w:eastAsia="Calibri" w:hAnsi="Calibri"/>
          <w:i w:val="0"/>
          <w:iCs w:val="0"/>
        </w:rPr>
        <w:t> :</w:t>
      </w:r>
      <w:r w:rsidRPr="00DE7E18">
        <w:rPr>
          <w:rFonts w:ascii="Calibri" w:eastAsia="Calibri" w:hAnsi="Calibri"/>
          <w:i w:val="0"/>
          <w:iCs w:val="0"/>
        </w:rPr>
        <w:t xml:space="preserve"> l’État, la banque conventionnée et l’emprunteur.</w:t>
      </w:r>
      <w:r w:rsidR="00421D36">
        <w:rPr>
          <w:rFonts w:ascii="Calibri" w:eastAsia="Calibri" w:hAnsi="Calibri"/>
          <w:i w:val="0"/>
          <w:iCs w:val="0"/>
        </w:rPr>
        <w:t xml:space="preserve"> </w:t>
      </w:r>
      <w:r>
        <w:rPr>
          <w:rFonts w:ascii="Calibri" w:eastAsia="Calibri" w:hAnsi="Calibri"/>
          <w:i w:val="0"/>
          <w:iCs w:val="0"/>
        </w:rPr>
        <w:t>Sachant que le bailleur est un OPH, l’on peut supposer que le logement relève d’une convention APL et que le logement a aujourd’hui un statut d’équivalent PLA-I, PLUS ou PLS. Mais ce n’est pas certain. Rappelons que c’est la convention APL qui donne au logement un statut de logement locatif social (LLS). Rappelons aussi que seule cette convention fait la différence entre l’APL et l’allocation logement à laquelle peuvent avoir droit des locataires de logements du secteur privé et, qu’à même situation de logement, de loyer, de revenus et de composition familiale, le calcul de l’APL et de l’AL et le montant en résultant sont les mêmes.</w:t>
      </w:r>
    </w:p>
    <w:p w14:paraId="140CF5D1" w14:textId="67519FA6" w:rsidR="00DE7E18" w:rsidRDefault="00DE7E18" w:rsidP="00C45CDB">
      <w:pPr>
        <w:spacing w:before="100" w:line="228" w:lineRule="auto"/>
        <w:ind w:left="284"/>
        <w:rPr>
          <w:rFonts w:ascii="Calibri" w:eastAsia="Calibri" w:hAnsi="Calibri"/>
          <w:i w:val="0"/>
          <w:iCs w:val="0"/>
        </w:rPr>
      </w:pPr>
      <w:r>
        <w:rPr>
          <w:rFonts w:ascii="Calibri" w:eastAsia="Calibri" w:hAnsi="Calibri"/>
          <w:i w:val="0"/>
          <w:iCs w:val="0"/>
        </w:rPr>
        <w:t xml:space="preserve">Ainsi, </w:t>
      </w:r>
      <w:r w:rsidR="003373B7">
        <w:rPr>
          <w:rFonts w:ascii="Calibri" w:eastAsia="Calibri" w:hAnsi="Calibri"/>
          <w:i w:val="0"/>
          <w:iCs w:val="0"/>
        </w:rPr>
        <w:t>cette information manque pour caractériser la situation. Mais, cette imprécision ne change en rien les réponses aux questions suivantes</w:t>
      </w:r>
      <w:r w:rsidR="00C45CDB">
        <w:rPr>
          <w:rFonts w:ascii="Calibri" w:eastAsia="Calibri" w:hAnsi="Calibri"/>
          <w:i w:val="0"/>
          <w:iCs w:val="0"/>
        </w:rPr>
        <w:t xml:space="preserve"> puisque ce qui va importer est le statut du propriétaire du logement.</w:t>
      </w:r>
    </w:p>
    <w:p w14:paraId="047C20FD" w14:textId="4261863D" w:rsidR="003373B7" w:rsidRPr="003373B7" w:rsidRDefault="003373B7" w:rsidP="004337D0">
      <w:pPr>
        <w:pStyle w:val="Titre2"/>
      </w:pPr>
      <w:r w:rsidRPr="003373B7">
        <w:t>Les procédures contraignant un bailleur lors d’une réhabilitation ?</w:t>
      </w:r>
    </w:p>
    <w:p w14:paraId="42C171EE" w14:textId="02353625" w:rsidR="003373B7" w:rsidRDefault="00421D36" w:rsidP="00C45CDB">
      <w:pPr>
        <w:spacing w:before="100" w:line="228" w:lineRule="auto"/>
        <w:ind w:left="284"/>
        <w:rPr>
          <w:rFonts w:ascii="Calibri" w:eastAsia="Calibri" w:hAnsi="Calibri"/>
          <w:i w:val="0"/>
          <w:iCs w:val="0"/>
        </w:rPr>
      </w:pPr>
      <w:r w:rsidRPr="00421D36">
        <w:rPr>
          <w:rFonts w:ascii="Calibri" w:eastAsia="Calibri" w:hAnsi="Calibri"/>
          <w:b/>
          <w:bCs/>
          <w:i w:val="0"/>
          <w:iCs w:val="0"/>
          <w:color w:val="781E78" w:themeColor="accent3"/>
        </w:rPr>
        <w:t>L’article 44 quater de la Loi Méhaignerie</w:t>
      </w:r>
      <w:r w:rsidRPr="00421D36">
        <w:rPr>
          <w:rFonts w:ascii="Calibri" w:eastAsia="Calibri" w:hAnsi="Calibri"/>
          <w:i w:val="0"/>
          <w:iCs w:val="0"/>
        </w:rPr>
        <w:t xml:space="preserve"> </w:t>
      </w:r>
      <w:bookmarkStart w:id="2" w:name="_Ref188352909"/>
      <w:r>
        <w:rPr>
          <w:rStyle w:val="Appelnotedebasdep"/>
          <w:i w:val="0"/>
          <w:iCs w:val="0"/>
        </w:rPr>
        <w:footnoteReference w:id="1"/>
      </w:r>
      <w:bookmarkEnd w:id="2"/>
      <w:r>
        <w:rPr>
          <w:rFonts w:ascii="Calibri" w:eastAsia="Calibri" w:hAnsi="Calibri"/>
          <w:i w:val="0"/>
          <w:iCs w:val="0"/>
        </w:rPr>
        <w:t xml:space="preserve"> impose aux organismes HLM (OPH, ESH et </w:t>
      </w:r>
      <w:proofErr w:type="spellStart"/>
      <w:r>
        <w:rPr>
          <w:rFonts w:ascii="Calibri" w:eastAsia="Calibri" w:hAnsi="Calibri"/>
          <w:i w:val="0"/>
          <w:iCs w:val="0"/>
        </w:rPr>
        <w:t>Coop’HLM</w:t>
      </w:r>
      <w:proofErr w:type="spellEnd"/>
      <w:r>
        <w:rPr>
          <w:rFonts w:ascii="Calibri" w:eastAsia="Calibri" w:hAnsi="Calibri"/>
          <w:i w:val="0"/>
          <w:iCs w:val="0"/>
        </w:rPr>
        <w:t>), aux Sem et à certains investisseurs institutionnels l’organisation d’une « </w:t>
      </w:r>
      <w:r w:rsidRPr="00AF28EF">
        <w:rPr>
          <w:rFonts w:ascii="Calibri" w:eastAsia="Calibri" w:hAnsi="Calibri"/>
        </w:rPr>
        <w:t>réunion d'information des locataires</w:t>
      </w:r>
      <w:r>
        <w:rPr>
          <w:rFonts w:ascii="Calibri" w:eastAsia="Calibri" w:hAnsi="Calibri"/>
          <w:i w:val="0"/>
          <w:iCs w:val="0"/>
        </w:rPr>
        <w:t> » « </w:t>
      </w:r>
      <w:r w:rsidRPr="00AF28EF">
        <w:rPr>
          <w:rFonts w:ascii="Calibri" w:eastAsia="Calibri" w:hAnsi="Calibri"/>
        </w:rPr>
        <w:t>préalablement à toute décision d'engager une opération d'amélioration, ayant une incidence sur les loyers ou les charges locatives, ou de construction-démolition</w:t>
      </w:r>
      <w:r w:rsidRPr="00AF28EF">
        <w:rPr>
          <w:rFonts w:ascii="Calibri" w:eastAsia="Calibri" w:hAnsi="Calibri"/>
          <w:i w:val="0"/>
          <w:iCs w:val="0"/>
        </w:rPr>
        <w:t> </w:t>
      </w:r>
      <w:r>
        <w:rPr>
          <w:rFonts w:ascii="Calibri" w:eastAsia="Calibri" w:hAnsi="Calibri"/>
          <w:i w:val="0"/>
          <w:iCs w:val="0"/>
        </w:rPr>
        <w:t>».</w:t>
      </w:r>
    </w:p>
    <w:p w14:paraId="7FD792F5" w14:textId="4D4D77EB" w:rsidR="00421D36" w:rsidRDefault="00421D36" w:rsidP="00C45CDB">
      <w:pPr>
        <w:spacing w:before="100" w:line="228" w:lineRule="auto"/>
        <w:ind w:left="284"/>
        <w:rPr>
          <w:rFonts w:ascii="Calibri" w:eastAsia="Calibri" w:hAnsi="Calibri"/>
          <w:i w:val="0"/>
          <w:iCs w:val="0"/>
        </w:rPr>
      </w:pPr>
      <w:r>
        <w:rPr>
          <w:rFonts w:ascii="Calibri" w:eastAsia="Calibri" w:hAnsi="Calibri"/>
          <w:b/>
          <w:bCs/>
          <w:i w:val="0"/>
          <w:iCs w:val="0"/>
          <w:color w:val="781E78" w:themeColor="accent3"/>
        </w:rPr>
        <w:lastRenderedPageBreak/>
        <w:t>Ce même article</w:t>
      </w:r>
      <w:r w:rsidR="00DC0D84" w:rsidRPr="00DC0D84">
        <w:rPr>
          <w:rStyle w:val="Appelnotedebasdep"/>
          <w:b w:val="0"/>
          <w:bCs w:val="0"/>
        </w:rPr>
        <w:fldChar w:fldCharType="begin"/>
      </w:r>
      <w:r w:rsidR="00DC0D84" w:rsidRPr="00DC0D84">
        <w:rPr>
          <w:rStyle w:val="Appelnotedebasdep"/>
          <w:b w:val="0"/>
          <w:bCs w:val="0"/>
        </w:rPr>
        <w:instrText xml:space="preserve"> NOTEREF _Ref188352909 \h  \* MERGEFORMAT </w:instrText>
      </w:r>
      <w:r w:rsidR="00DC0D84" w:rsidRPr="00DC0D84">
        <w:rPr>
          <w:rStyle w:val="Appelnotedebasdep"/>
          <w:b w:val="0"/>
          <w:bCs w:val="0"/>
        </w:rPr>
      </w:r>
      <w:r w:rsidR="00DC0D84" w:rsidRPr="00DC0D84">
        <w:rPr>
          <w:rStyle w:val="Appelnotedebasdep"/>
          <w:b w:val="0"/>
          <w:bCs w:val="0"/>
        </w:rPr>
        <w:fldChar w:fldCharType="separate"/>
      </w:r>
      <w:r w:rsidR="00AF28EF">
        <w:rPr>
          <w:rStyle w:val="Appelnotedebasdep"/>
          <w:b w:val="0"/>
          <w:bCs w:val="0"/>
        </w:rPr>
        <w:t>1</w:t>
      </w:r>
      <w:r w:rsidR="00DC0D84" w:rsidRPr="00DC0D84">
        <w:rPr>
          <w:rStyle w:val="Appelnotedebasdep"/>
          <w:b w:val="0"/>
          <w:bCs w:val="0"/>
        </w:rPr>
        <w:fldChar w:fldCharType="end"/>
      </w:r>
      <w:r>
        <w:rPr>
          <w:rFonts w:ascii="Calibri" w:eastAsia="Calibri" w:hAnsi="Calibri"/>
          <w:b/>
          <w:bCs/>
          <w:i w:val="0"/>
          <w:iCs w:val="0"/>
          <w:color w:val="781E78" w:themeColor="accent3"/>
        </w:rPr>
        <w:t xml:space="preserve"> </w:t>
      </w:r>
      <w:r w:rsidRPr="00421D36">
        <w:rPr>
          <w:rFonts w:ascii="Calibri" w:eastAsia="Calibri" w:hAnsi="Calibri"/>
          <w:i w:val="0"/>
          <w:iCs w:val="0"/>
        </w:rPr>
        <w:t xml:space="preserve">impose une </w:t>
      </w:r>
      <w:r w:rsidR="00AF28EF">
        <w:rPr>
          <w:rFonts w:ascii="Calibri" w:eastAsia="Calibri" w:hAnsi="Calibri"/>
          <w:i w:val="0"/>
          <w:iCs w:val="0"/>
        </w:rPr>
        <w:t>« </w:t>
      </w:r>
      <w:r w:rsidRPr="00AF28EF">
        <w:rPr>
          <w:rFonts w:ascii="Calibri" w:eastAsia="Calibri" w:hAnsi="Calibri"/>
        </w:rPr>
        <w:t xml:space="preserve">concertation avec les représentants des locataires, et, </w:t>
      </w:r>
      <w:r w:rsidR="00076AD0" w:rsidRPr="00AF28EF">
        <w:rPr>
          <w:rFonts w:ascii="Calibri" w:eastAsia="Calibri" w:hAnsi="Calibri"/>
        </w:rPr>
        <w:t>l</w:t>
      </w:r>
      <w:r w:rsidRPr="00AF28EF">
        <w:rPr>
          <w:rFonts w:ascii="Calibri" w:eastAsia="Calibri" w:hAnsi="Calibri"/>
        </w:rPr>
        <w:t>orsqu</w:t>
      </w:r>
      <w:r w:rsidR="00076AD0" w:rsidRPr="00AF28EF">
        <w:rPr>
          <w:rFonts w:ascii="Calibri" w:eastAsia="Calibri" w:hAnsi="Calibri"/>
        </w:rPr>
        <w:t>’il existe,</w:t>
      </w:r>
      <w:r w:rsidRPr="00AF28EF">
        <w:rPr>
          <w:rFonts w:ascii="Calibri" w:eastAsia="Calibri" w:hAnsi="Calibri"/>
        </w:rPr>
        <w:t xml:space="preserve"> le conseil de concertation locative</w:t>
      </w:r>
      <w:r w:rsidR="00076AD0" w:rsidRPr="00AF28EF">
        <w:rPr>
          <w:rFonts w:ascii="Calibri" w:eastAsia="Calibri" w:hAnsi="Calibri"/>
        </w:rPr>
        <w:t xml:space="preserve"> (CCL)</w:t>
      </w:r>
      <w:r w:rsidR="00AF28EF">
        <w:rPr>
          <w:rFonts w:ascii="Calibri" w:eastAsia="Calibri" w:hAnsi="Calibri"/>
          <w:i w:val="0"/>
          <w:iCs w:val="0"/>
        </w:rPr>
        <w:t> »</w:t>
      </w:r>
      <w:r w:rsidRPr="00421D36">
        <w:rPr>
          <w:rFonts w:ascii="Calibri" w:eastAsia="Calibri" w:hAnsi="Calibri"/>
          <w:i w:val="0"/>
          <w:iCs w:val="0"/>
        </w:rPr>
        <w:t xml:space="preserve">. A défaut de représentants des locataires dans l'immeuble ou le groupe d'immeubles et après en avoir informé le </w:t>
      </w:r>
      <w:r w:rsidR="00076AD0">
        <w:rPr>
          <w:rFonts w:ascii="Calibri" w:eastAsia="Calibri" w:hAnsi="Calibri"/>
          <w:i w:val="0"/>
          <w:iCs w:val="0"/>
        </w:rPr>
        <w:t>CCL</w:t>
      </w:r>
      <w:r w:rsidRPr="00421D36">
        <w:rPr>
          <w:rFonts w:ascii="Calibri" w:eastAsia="Calibri" w:hAnsi="Calibri"/>
          <w:i w:val="0"/>
          <w:iCs w:val="0"/>
        </w:rPr>
        <w:t>, quand il existe</w:t>
      </w:r>
      <w:r w:rsidR="00076AD0">
        <w:rPr>
          <w:rFonts w:ascii="Calibri" w:eastAsia="Calibri" w:hAnsi="Calibri"/>
          <w:i w:val="0"/>
          <w:iCs w:val="0"/>
        </w:rPr>
        <w:t>,</w:t>
      </w:r>
      <w:r w:rsidRPr="00421D36">
        <w:rPr>
          <w:rFonts w:ascii="Calibri" w:eastAsia="Calibri" w:hAnsi="Calibri"/>
          <w:i w:val="0"/>
          <w:iCs w:val="0"/>
        </w:rPr>
        <w:t xml:space="preserve"> le bailleur doit mener cette concertation avec les locataires réunis à cet effet.</w:t>
      </w:r>
    </w:p>
    <w:p w14:paraId="3E434E9E" w14:textId="2F315F8D" w:rsidR="00076AD0" w:rsidRPr="00AF28EF" w:rsidRDefault="00AF28EF" w:rsidP="00C45CDB">
      <w:pPr>
        <w:spacing w:before="100" w:line="228" w:lineRule="auto"/>
        <w:ind w:left="284"/>
        <w:rPr>
          <w:rFonts w:ascii="Calibri" w:eastAsia="Calibri" w:hAnsi="Calibri"/>
        </w:rPr>
      </w:pPr>
      <w:r>
        <w:rPr>
          <w:rFonts w:ascii="Calibri" w:eastAsia="Calibri" w:hAnsi="Calibri"/>
          <w:i w:val="0"/>
          <w:iCs w:val="0"/>
        </w:rPr>
        <w:t>« </w:t>
      </w:r>
      <w:r w:rsidR="00076AD0" w:rsidRPr="00AF28EF">
        <w:rPr>
          <w:rFonts w:ascii="Calibri" w:eastAsia="Calibri" w:hAnsi="Calibri"/>
        </w:rPr>
        <w:t>La concertation porte sur la consistance et le coût des travaux, leur répercussion prévisible sur les loyers ou les charges locatives, les modalités de leur réalisation, sur l'opportunité de créer un local collectif résidentiel ainsi que, le cas échéant, sur les conditions de relogement des locataires, notamment pour les opérations de construction-démolition.</w:t>
      </w:r>
    </w:p>
    <w:p w14:paraId="27C7EADC" w14:textId="77777777" w:rsidR="00076AD0" w:rsidRPr="00AF28EF" w:rsidRDefault="00076AD0" w:rsidP="00C45CDB">
      <w:pPr>
        <w:spacing w:before="100" w:line="228" w:lineRule="auto"/>
        <w:ind w:left="284"/>
        <w:rPr>
          <w:rFonts w:ascii="Calibri" w:eastAsia="Calibri" w:hAnsi="Calibri"/>
        </w:rPr>
      </w:pPr>
      <w:r w:rsidRPr="00AF28EF">
        <w:rPr>
          <w:rFonts w:ascii="Calibri" w:eastAsia="Calibri" w:hAnsi="Calibri"/>
        </w:rPr>
        <w:t>Les documents et les diagnostics ayant permis d'élaborer le projet sont tenus à disposition des locataires et de leurs représentants.</w:t>
      </w:r>
    </w:p>
    <w:p w14:paraId="5CA5D4AD" w14:textId="316E12EF" w:rsidR="00076AD0" w:rsidRPr="00AF28EF" w:rsidRDefault="00076AD0" w:rsidP="00C45CDB">
      <w:pPr>
        <w:spacing w:before="100" w:line="228" w:lineRule="auto"/>
        <w:ind w:left="284"/>
        <w:rPr>
          <w:rFonts w:ascii="Calibri" w:eastAsia="Calibri" w:hAnsi="Calibri"/>
        </w:rPr>
      </w:pPr>
      <w:r w:rsidRPr="00AF28EF">
        <w:rPr>
          <w:rFonts w:ascii="Calibri" w:eastAsia="Calibri" w:hAnsi="Calibri"/>
        </w:rPr>
        <w:t>Parallèlement, le bailleur informe la commune de ses projets et de l'engagement de la concertation.</w:t>
      </w:r>
    </w:p>
    <w:p w14:paraId="36C0442E" w14:textId="78E799CA" w:rsidR="00076AD0" w:rsidRDefault="00076AD0" w:rsidP="00C45CDB">
      <w:pPr>
        <w:spacing w:before="100" w:line="228" w:lineRule="auto"/>
        <w:ind w:left="284"/>
        <w:rPr>
          <w:rFonts w:ascii="Calibri" w:eastAsia="Calibri" w:hAnsi="Calibri"/>
          <w:i w:val="0"/>
          <w:iCs w:val="0"/>
        </w:rPr>
      </w:pPr>
      <w:r w:rsidRPr="00AF28EF">
        <w:rPr>
          <w:rFonts w:ascii="Calibri" w:eastAsia="Calibri" w:hAnsi="Calibri"/>
        </w:rPr>
        <w:t>Une fois le projet élaboré et avant le début de l'opération d'amélioration ou de construction-démolition, le bailleur dresse un bilan de la concertation qui comporte, le cas échéant, l'avis motivé des représentants des locataires. Il en informe les locataires réunis à cet effet.</w:t>
      </w:r>
      <w:r w:rsidR="00AF28EF" w:rsidRPr="00AF28EF">
        <w:rPr>
          <w:rFonts w:ascii="Calibri" w:eastAsia="Calibri" w:hAnsi="Calibri"/>
        </w:rPr>
        <w:t> </w:t>
      </w:r>
      <w:r w:rsidR="00AF28EF">
        <w:rPr>
          <w:rFonts w:ascii="Calibri" w:eastAsia="Calibri" w:hAnsi="Calibri"/>
          <w:i w:val="0"/>
          <w:iCs w:val="0"/>
        </w:rPr>
        <w:t>»</w:t>
      </w:r>
    </w:p>
    <w:p w14:paraId="1C711420" w14:textId="0B7C0D6A" w:rsidR="004337D0" w:rsidRPr="004337D0" w:rsidRDefault="004337D0" w:rsidP="004337D0">
      <w:pPr>
        <w:pStyle w:val="Titre2"/>
      </w:pPr>
      <w:r>
        <w:t>Le</w:t>
      </w:r>
      <w:r w:rsidRPr="004337D0">
        <w:t xml:space="preserve"> cadre </w:t>
      </w:r>
      <w:r>
        <w:t>pour</w:t>
      </w:r>
      <w:r w:rsidRPr="004337D0">
        <w:t xml:space="preserve"> une hausse de loyers en cas de réhabilitation ?</w:t>
      </w:r>
    </w:p>
    <w:p w14:paraId="562FF36C" w14:textId="0CD80522" w:rsidR="00497CDF" w:rsidRDefault="004337D0" w:rsidP="00C45CDB">
      <w:pPr>
        <w:spacing w:before="100" w:line="228" w:lineRule="auto"/>
        <w:ind w:left="284"/>
        <w:rPr>
          <w:rFonts w:ascii="Calibri" w:eastAsia="Calibri" w:hAnsi="Calibri"/>
          <w:i w:val="0"/>
          <w:iCs w:val="0"/>
        </w:rPr>
      </w:pPr>
      <w:r w:rsidRPr="00497CDF">
        <w:rPr>
          <w:rFonts w:ascii="Calibri" w:eastAsia="Calibri" w:hAnsi="Calibri"/>
          <w:b/>
          <w:bCs/>
          <w:i w:val="0"/>
          <w:iCs w:val="0"/>
          <w:color w:val="781E78" w:themeColor="accent3"/>
        </w:rPr>
        <w:t>L’</w:t>
      </w:r>
      <w:bookmarkStart w:id="3" w:name="_Hlk188352169"/>
      <w:r w:rsidRPr="00497CDF">
        <w:rPr>
          <w:rFonts w:ascii="Calibri" w:eastAsia="Calibri" w:hAnsi="Calibri"/>
          <w:b/>
          <w:bCs/>
          <w:i w:val="0"/>
          <w:iCs w:val="0"/>
          <w:color w:val="781E78" w:themeColor="accent3"/>
        </w:rPr>
        <w:t>a</w:t>
      </w:r>
      <w:r w:rsidR="00BD5898" w:rsidRPr="00497CDF">
        <w:rPr>
          <w:rFonts w:ascii="Calibri" w:eastAsia="Calibri" w:hAnsi="Calibri"/>
          <w:b/>
          <w:bCs/>
          <w:i w:val="0"/>
          <w:iCs w:val="0"/>
          <w:color w:val="781E78" w:themeColor="accent3"/>
        </w:rPr>
        <w:t>rticle L</w:t>
      </w:r>
      <w:r w:rsidR="00497CDF">
        <w:rPr>
          <w:rFonts w:ascii="Calibri" w:eastAsia="Calibri" w:hAnsi="Calibri"/>
          <w:b/>
          <w:bCs/>
          <w:i w:val="0"/>
          <w:iCs w:val="0"/>
          <w:color w:val="781E78" w:themeColor="accent3"/>
        </w:rPr>
        <w:t>. </w:t>
      </w:r>
      <w:r w:rsidR="00BD5898" w:rsidRPr="00497CDF">
        <w:rPr>
          <w:rFonts w:ascii="Calibri" w:eastAsia="Calibri" w:hAnsi="Calibri"/>
          <w:b/>
          <w:bCs/>
          <w:i w:val="0"/>
          <w:iCs w:val="0"/>
          <w:color w:val="781E78" w:themeColor="accent3"/>
        </w:rPr>
        <w:t>442-1</w:t>
      </w:r>
      <w:r w:rsidRPr="00497CDF">
        <w:rPr>
          <w:rFonts w:ascii="Calibri" w:eastAsia="Calibri" w:hAnsi="Calibri"/>
          <w:b/>
          <w:bCs/>
          <w:i w:val="0"/>
          <w:iCs w:val="0"/>
          <w:color w:val="781E78" w:themeColor="accent3"/>
        </w:rPr>
        <w:t xml:space="preserve"> du CCH</w:t>
      </w:r>
      <w:bookmarkStart w:id="4" w:name="_Ref188352864"/>
      <w:bookmarkEnd w:id="3"/>
      <w:r>
        <w:rPr>
          <w:rStyle w:val="Appelnotedebasdep"/>
          <w:i w:val="0"/>
          <w:iCs w:val="0"/>
        </w:rPr>
        <w:footnoteReference w:id="2"/>
      </w:r>
      <w:bookmarkEnd w:id="4"/>
      <w:r>
        <w:rPr>
          <w:rFonts w:ascii="Calibri" w:eastAsia="Calibri" w:hAnsi="Calibri"/>
          <w:i w:val="0"/>
          <w:iCs w:val="0"/>
        </w:rPr>
        <w:t xml:space="preserve"> Code de la construction et de l’habitation limite l’augmentation des loyers pour les logements propriété d’un organisme HLM</w:t>
      </w:r>
      <w:r w:rsidR="00DC0D84">
        <w:rPr>
          <w:rFonts w:ascii="Calibri" w:eastAsia="Calibri" w:hAnsi="Calibri"/>
          <w:i w:val="0"/>
          <w:iCs w:val="0"/>
        </w:rPr>
        <w:t>, quel que soit le statut de ces logements,</w:t>
      </w:r>
      <w:r>
        <w:rPr>
          <w:rFonts w:ascii="Calibri" w:eastAsia="Calibri" w:hAnsi="Calibri"/>
          <w:i w:val="0"/>
          <w:iCs w:val="0"/>
        </w:rPr>
        <w:t xml:space="preserve"> à l’IRL (indice de référence des loyers) lorsqu’il s’agit de l’augmentation annuelle prévue par le même article</w:t>
      </w:r>
      <w:r w:rsidR="00DC0D84">
        <w:rPr>
          <w:rFonts w:ascii="Calibri" w:eastAsia="Calibri" w:hAnsi="Calibri"/>
          <w:i w:val="0"/>
          <w:iCs w:val="0"/>
        </w:rPr>
        <w:t>.</w:t>
      </w:r>
    </w:p>
    <w:p w14:paraId="44A86045" w14:textId="68AB6349" w:rsidR="00475205" w:rsidRDefault="00475205" w:rsidP="00C45CDB">
      <w:pPr>
        <w:spacing w:before="100" w:line="228" w:lineRule="auto"/>
        <w:ind w:left="284"/>
        <w:rPr>
          <w:rFonts w:ascii="Calibri" w:eastAsia="Calibri" w:hAnsi="Calibri"/>
          <w:i w:val="0"/>
          <w:iCs w:val="0"/>
        </w:rPr>
      </w:pPr>
      <w:r w:rsidRPr="00497CDF">
        <w:rPr>
          <w:rFonts w:ascii="Calibri" w:eastAsia="Calibri" w:hAnsi="Calibri"/>
          <w:b/>
          <w:bCs/>
          <w:i w:val="0"/>
          <w:iCs w:val="0"/>
          <w:color w:val="781E78" w:themeColor="accent3"/>
        </w:rPr>
        <w:t>Le même article</w:t>
      </w:r>
      <w:r w:rsidRPr="00DC0D84">
        <w:rPr>
          <w:rStyle w:val="Appelnotedebasdep"/>
        </w:rPr>
        <w:fldChar w:fldCharType="begin"/>
      </w:r>
      <w:r w:rsidRPr="00DC0D84">
        <w:rPr>
          <w:rStyle w:val="Appelnotedebasdep"/>
        </w:rPr>
        <w:instrText xml:space="preserve"> NOTEREF _Ref188352864 \h  \* MERGEFORMAT </w:instrText>
      </w:r>
      <w:r w:rsidRPr="00DC0D84">
        <w:rPr>
          <w:rStyle w:val="Appelnotedebasdep"/>
        </w:rPr>
      </w:r>
      <w:r w:rsidRPr="00DC0D84">
        <w:rPr>
          <w:rStyle w:val="Appelnotedebasdep"/>
        </w:rPr>
        <w:fldChar w:fldCharType="separate"/>
      </w:r>
      <w:r w:rsidR="00AF28EF">
        <w:rPr>
          <w:rStyle w:val="Appelnotedebasdep"/>
        </w:rPr>
        <w:t>2</w:t>
      </w:r>
      <w:r w:rsidRPr="00DC0D84">
        <w:rPr>
          <w:rStyle w:val="Appelnotedebasdep"/>
        </w:rPr>
        <w:fldChar w:fldCharType="end"/>
      </w:r>
      <w:r>
        <w:rPr>
          <w:rFonts w:ascii="Calibri" w:eastAsia="Calibri" w:hAnsi="Calibri"/>
          <w:i w:val="0"/>
          <w:iCs w:val="0"/>
        </w:rPr>
        <w:t xml:space="preserve"> permet une augmentation en cours d’année à la suite </w:t>
      </w:r>
      <w:r w:rsidR="00AF28EF">
        <w:rPr>
          <w:rFonts w:ascii="Calibri" w:eastAsia="Calibri" w:hAnsi="Calibri"/>
          <w:i w:val="0"/>
          <w:iCs w:val="0"/>
        </w:rPr>
        <w:t xml:space="preserve">notamment </w:t>
      </w:r>
      <w:r>
        <w:rPr>
          <w:rFonts w:ascii="Calibri" w:eastAsia="Calibri" w:hAnsi="Calibri"/>
          <w:i w:val="0"/>
          <w:iCs w:val="0"/>
        </w:rPr>
        <w:t xml:space="preserve">d’une </w:t>
      </w:r>
      <w:r w:rsidRPr="00497CDF">
        <w:rPr>
          <w:rFonts w:ascii="Calibri" w:eastAsia="Calibri" w:hAnsi="Calibri"/>
          <w:i w:val="0"/>
          <w:iCs w:val="0"/>
        </w:rPr>
        <w:t>réhabilitation</w:t>
      </w:r>
      <w:r>
        <w:rPr>
          <w:rFonts w:ascii="Calibri" w:eastAsia="Calibri" w:hAnsi="Calibri"/>
          <w:i w:val="0"/>
          <w:iCs w:val="0"/>
        </w:rPr>
        <w:t xml:space="preserve"> sous condition d’une </w:t>
      </w:r>
      <w:r w:rsidRPr="00475205">
        <w:rPr>
          <w:rFonts w:ascii="Calibri" w:eastAsia="Calibri" w:hAnsi="Calibri"/>
          <w:i w:val="0"/>
          <w:iCs w:val="0"/>
        </w:rPr>
        <w:t>autorisation de l</w:t>
      </w:r>
      <w:r w:rsidRPr="004337D0">
        <w:rPr>
          <w:rFonts w:ascii="Calibri" w:eastAsia="Calibri" w:hAnsi="Calibri"/>
          <w:i w:val="0"/>
          <w:iCs w:val="0"/>
        </w:rPr>
        <w:t>'autorité administrative</w:t>
      </w:r>
      <w:r>
        <w:rPr>
          <w:rFonts w:ascii="Calibri" w:eastAsia="Calibri" w:hAnsi="Calibri"/>
          <w:i w:val="0"/>
          <w:iCs w:val="0"/>
        </w:rPr>
        <w:t xml:space="preserve"> </w:t>
      </w:r>
      <w:r w:rsidR="002F14B3">
        <w:rPr>
          <w:rFonts w:ascii="Calibri" w:eastAsia="Calibri" w:hAnsi="Calibri"/>
          <w:i w:val="0"/>
          <w:iCs w:val="0"/>
        </w:rPr>
        <w:t>(le Préfet</w:t>
      </w:r>
      <w:r w:rsidR="00C45CDB">
        <w:rPr>
          <w:rFonts w:ascii="Calibri" w:eastAsia="Calibri" w:hAnsi="Calibri"/>
          <w:i w:val="0"/>
          <w:iCs w:val="0"/>
        </w:rPr>
        <w:t xml:space="preserve"> de région pour l’Ile-de-France, le préfet de département ailleurs</w:t>
      </w:r>
      <w:r w:rsidR="002F14B3">
        <w:rPr>
          <w:rFonts w:ascii="Calibri" w:eastAsia="Calibri" w:hAnsi="Calibri"/>
          <w:i w:val="0"/>
          <w:iCs w:val="0"/>
        </w:rPr>
        <w:t xml:space="preserve">) </w:t>
      </w:r>
      <w:r>
        <w:rPr>
          <w:rFonts w:ascii="Calibri" w:eastAsia="Calibri" w:hAnsi="Calibri"/>
          <w:i w:val="0"/>
          <w:iCs w:val="0"/>
        </w:rPr>
        <w:t>et une augmentation à</w:t>
      </w:r>
      <w:r w:rsidRPr="004337D0">
        <w:rPr>
          <w:rFonts w:ascii="Calibri" w:eastAsia="Calibri" w:hAnsi="Calibri"/>
          <w:i w:val="0"/>
          <w:iCs w:val="0"/>
        </w:rPr>
        <w:t xml:space="preserve"> 5 % en sus de la variation de</w:t>
      </w:r>
      <w:r>
        <w:rPr>
          <w:rFonts w:ascii="Calibri" w:eastAsia="Calibri" w:hAnsi="Calibri"/>
          <w:i w:val="0"/>
          <w:iCs w:val="0"/>
        </w:rPr>
        <w:t xml:space="preserve"> cet IRL mais rajoute une obligation d’un </w:t>
      </w:r>
      <w:r w:rsidRPr="00DC0D84">
        <w:rPr>
          <w:rFonts w:ascii="Calibri" w:eastAsia="Calibri" w:hAnsi="Calibri"/>
          <w:i w:val="0"/>
          <w:iCs w:val="0"/>
        </w:rPr>
        <w:t>accord des associations représentatives de locataires et des locataires</w:t>
      </w:r>
      <w:r>
        <w:rPr>
          <w:rFonts w:ascii="Calibri" w:eastAsia="Calibri" w:hAnsi="Calibri"/>
          <w:i w:val="0"/>
          <w:iCs w:val="0"/>
        </w:rPr>
        <w:t xml:space="preserve"> explicitement matérialisé par un </w:t>
      </w:r>
      <w:r w:rsidRPr="00497CDF">
        <w:rPr>
          <w:rFonts w:ascii="Calibri" w:eastAsia="Calibri" w:hAnsi="Calibri"/>
          <w:i w:val="0"/>
          <w:iCs w:val="0"/>
        </w:rPr>
        <w:t>accord collectif loca</w:t>
      </w:r>
      <w:r>
        <w:rPr>
          <w:rFonts w:ascii="Calibri" w:eastAsia="Calibri" w:hAnsi="Calibri"/>
          <w:i w:val="0"/>
          <w:iCs w:val="0"/>
        </w:rPr>
        <w:t xml:space="preserve">l tel que prévu par </w:t>
      </w:r>
      <w:r w:rsidRPr="00497CDF">
        <w:rPr>
          <w:rFonts w:ascii="Calibri" w:eastAsia="Calibri" w:hAnsi="Calibri"/>
          <w:b/>
          <w:bCs/>
          <w:i w:val="0"/>
          <w:iCs w:val="0"/>
          <w:color w:val="781E78" w:themeColor="accent3"/>
        </w:rPr>
        <w:t>l’article 42 de la Loi Méhaignerie</w:t>
      </w:r>
      <w:bookmarkStart w:id="5" w:name="_Ref188354436"/>
      <w:r>
        <w:rPr>
          <w:rStyle w:val="Appelnotedebasdep"/>
          <w:i w:val="0"/>
          <w:iCs w:val="0"/>
        </w:rPr>
        <w:footnoteReference w:id="3"/>
      </w:r>
      <w:bookmarkEnd w:id="5"/>
      <w:r>
        <w:rPr>
          <w:rFonts w:ascii="Calibri" w:eastAsia="Calibri" w:hAnsi="Calibri"/>
          <w:b/>
          <w:bCs/>
          <w:i w:val="0"/>
          <w:iCs w:val="0"/>
          <w:color w:val="781E78" w:themeColor="accent3"/>
        </w:rPr>
        <w:t>.</w:t>
      </w:r>
    </w:p>
    <w:p w14:paraId="2429B9A8" w14:textId="06008ABF" w:rsidR="00497CDF" w:rsidRDefault="00497CDF" w:rsidP="00497CDF">
      <w:pPr>
        <w:pStyle w:val="Titre3"/>
        <w:rPr>
          <w:rFonts w:eastAsia="Calibri"/>
        </w:rPr>
      </w:pPr>
      <w:r>
        <w:rPr>
          <w:rFonts w:eastAsia="Calibri"/>
        </w:rPr>
        <w:t>L’accord collectif local</w:t>
      </w:r>
    </w:p>
    <w:p w14:paraId="50A8A6CC" w14:textId="77777777" w:rsidR="00475205" w:rsidRDefault="00497CDF" w:rsidP="00C45CDB">
      <w:pPr>
        <w:spacing w:before="100" w:line="228" w:lineRule="auto"/>
        <w:ind w:left="284"/>
        <w:rPr>
          <w:rFonts w:ascii="Calibri" w:eastAsia="Calibri" w:hAnsi="Calibri"/>
          <w:i w:val="0"/>
          <w:iCs w:val="0"/>
        </w:rPr>
      </w:pPr>
      <w:r>
        <w:rPr>
          <w:rFonts w:ascii="Calibri" w:eastAsia="Calibri" w:hAnsi="Calibri"/>
          <w:i w:val="0"/>
          <w:iCs w:val="0"/>
        </w:rPr>
        <w:t xml:space="preserve">Ainsi, un accord collectif local est à rechercher </w:t>
      </w:r>
      <w:r w:rsidR="00475205">
        <w:rPr>
          <w:rFonts w:ascii="Calibri" w:eastAsia="Calibri" w:hAnsi="Calibri"/>
          <w:i w:val="0"/>
          <w:iCs w:val="0"/>
        </w:rPr>
        <w:t>dès lors qu’il y a réhabilitation et augmentation des loyers.</w:t>
      </w:r>
    </w:p>
    <w:p w14:paraId="466A57BD" w14:textId="390A93AB" w:rsidR="00497CDF" w:rsidRPr="00497CDF" w:rsidRDefault="002F14B3" w:rsidP="00C45CDB">
      <w:pPr>
        <w:spacing w:before="100" w:line="228" w:lineRule="auto"/>
        <w:ind w:left="284"/>
        <w:rPr>
          <w:rFonts w:ascii="Calibri" w:eastAsia="Calibri" w:hAnsi="Calibri"/>
          <w:i w:val="0"/>
          <w:iCs w:val="0"/>
        </w:rPr>
      </w:pPr>
      <w:r w:rsidRPr="00497CDF">
        <w:rPr>
          <w:rFonts w:ascii="Calibri" w:eastAsia="Calibri" w:hAnsi="Calibri"/>
          <w:b/>
          <w:bCs/>
          <w:i w:val="0"/>
          <w:iCs w:val="0"/>
          <w:color w:val="781E78" w:themeColor="accent3"/>
        </w:rPr>
        <w:t>L’article</w:t>
      </w:r>
      <w:r w:rsidR="00475205" w:rsidRPr="00497CDF">
        <w:rPr>
          <w:rFonts w:ascii="Calibri" w:eastAsia="Calibri" w:hAnsi="Calibri"/>
          <w:b/>
          <w:bCs/>
          <w:i w:val="0"/>
          <w:iCs w:val="0"/>
          <w:color w:val="781E78" w:themeColor="accent3"/>
        </w:rPr>
        <w:t xml:space="preserve"> 42 de la Loi Méhaignerie</w:t>
      </w:r>
      <w:r w:rsidR="00475205" w:rsidRPr="002F14B3">
        <w:rPr>
          <w:rStyle w:val="Appelnotedebasdep"/>
        </w:rPr>
        <w:fldChar w:fldCharType="begin"/>
      </w:r>
      <w:r w:rsidR="00475205" w:rsidRPr="002F14B3">
        <w:rPr>
          <w:rStyle w:val="Appelnotedebasdep"/>
        </w:rPr>
        <w:instrText xml:space="preserve"> NOTEREF _Ref188354436 \h  \* MERGEFORMAT </w:instrText>
      </w:r>
      <w:r w:rsidR="00475205" w:rsidRPr="002F14B3">
        <w:rPr>
          <w:rStyle w:val="Appelnotedebasdep"/>
        </w:rPr>
      </w:r>
      <w:r w:rsidR="00475205" w:rsidRPr="002F14B3">
        <w:rPr>
          <w:rStyle w:val="Appelnotedebasdep"/>
        </w:rPr>
        <w:fldChar w:fldCharType="separate"/>
      </w:r>
      <w:r w:rsidR="00AF28EF">
        <w:rPr>
          <w:rStyle w:val="Appelnotedebasdep"/>
        </w:rPr>
        <w:t>3</w:t>
      </w:r>
      <w:r w:rsidR="00475205" w:rsidRPr="002F14B3">
        <w:rPr>
          <w:rStyle w:val="Appelnotedebasdep"/>
        </w:rPr>
        <w:fldChar w:fldCharType="end"/>
      </w:r>
      <w:r w:rsidR="00475205">
        <w:rPr>
          <w:rFonts w:ascii="Calibri" w:eastAsia="Calibri" w:hAnsi="Calibri"/>
          <w:b/>
          <w:bCs/>
          <w:i w:val="0"/>
          <w:iCs w:val="0"/>
          <w:color w:val="781E78" w:themeColor="accent3"/>
        </w:rPr>
        <w:t xml:space="preserve"> </w:t>
      </w:r>
      <w:r w:rsidRPr="002F14B3">
        <w:rPr>
          <w:rFonts w:ascii="Calibri" w:eastAsia="Calibri" w:hAnsi="Calibri"/>
          <w:i w:val="0"/>
          <w:iCs w:val="0"/>
        </w:rPr>
        <w:t>décrit un</w:t>
      </w:r>
      <w:r w:rsidR="00475205">
        <w:rPr>
          <w:rFonts w:ascii="Calibri" w:eastAsia="Calibri" w:hAnsi="Calibri"/>
          <w:i w:val="0"/>
          <w:iCs w:val="0"/>
        </w:rPr>
        <w:t xml:space="preserve"> tel accord</w:t>
      </w:r>
      <w:r w:rsidRPr="002F14B3">
        <w:rPr>
          <w:rFonts w:ascii="Calibri" w:eastAsia="Calibri" w:hAnsi="Calibri"/>
          <w:i w:val="0"/>
          <w:iCs w:val="0"/>
        </w:rPr>
        <w:t xml:space="preserve"> </w:t>
      </w:r>
      <w:r>
        <w:rPr>
          <w:rFonts w:ascii="Calibri" w:eastAsia="Calibri" w:hAnsi="Calibri"/>
          <w:i w:val="0"/>
          <w:iCs w:val="0"/>
        </w:rPr>
        <w:t>dans son</w:t>
      </w:r>
      <w:r w:rsidRPr="002F14B3">
        <w:rPr>
          <w:rFonts w:ascii="Calibri" w:eastAsia="Calibri" w:hAnsi="Calibri"/>
          <w:i w:val="0"/>
          <w:iCs w:val="0"/>
        </w:rPr>
        <w:t xml:space="preserve"> détail</w:t>
      </w:r>
      <w:r>
        <w:rPr>
          <w:rFonts w:ascii="Calibri" w:eastAsia="Calibri" w:hAnsi="Calibri"/>
          <w:i w:val="0"/>
          <w:iCs w:val="0"/>
        </w:rPr>
        <w:t>. Il</w:t>
      </w:r>
      <w:r w:rsidR="00475205">
        <w:rPr>
          <w:rFonts w:ascii="Calibri" w:eastAsia="Calibri" w:hAnsi="Calibri"/>
          <w:i w:val="0"/>
          <w:iCs w:val="0"/>
        </w:rPr>
        <w:t xml:space="preserve"> s’impose</w:t>
      </w:r>
      <w:r w:rsidR="00497CDF" w:rsidRPr="00497CDF">
        <w:rPr>
          <w:rFonts w:ascii="Calibri" w:eastAsia="Calibri" w:hAnsi="Calibri"/>
          <w:i w:val="0"/>
          <w:iCs w:val="0"/>
        </w:rPr>
        <w:t xml:space="preserve"> dès lors qu'il </w:t>
      </w:r>
      <w:r>
        <w:rPr>
          <w:rFonts w:ascii="Calibri" w:eastAsia="Calibri" w:hAnsi="Calibri"/>
          <w:i w:val="0"/>
          <w:iCs w:val="0"/>
        </w:rPr>
        <w:t>a</w:t>
      </w:r>
      <w:r w:rsidR="00497CDF" w:rsidRPr="00497CDF">
        <w:rPr>
          <w:rFonts w:ascii="Calibri" w:eastAsia="Calibri" w:hAnsi="Calibri"/>
          <w:i w:val="0"/>
          <w:iCs w:val="0"/>
        </w:rPr>
        <w:t xml:space="preserve"> été </w:t>
      </w:r>
      <w:r w:rsidRPr="00497CDF">
        <w:rPr>
          <w:rFonts w:ascii="Calibri" w:eastAsia="Calibri" w:hAnsi="Calibri"/>
          <w:i w:val="0"/>
          <w:iCs w:val="0"/>
        </w:rPr>
        <w:t>conclu</w:t>
      </w:r>
      <w:r>
        <w:rPr>
          <w:rFonts w:ascii="Calibri" w:eastAsia="Calibri" w:hAnsi="Calibri"/>
          <w:i w:val="0"/>
          <w:iCs w:val="0"/>
        </w:rPr>
        <w:t> :</w:t>
      </w:r>
    </w:p>
    <w:p w14:paraId="47B2C990" w14:textId="32D896CC" w:rsidR="00497CDF" w:rsidRPr="002F14B3" w:rsidRDefault="002F14B3" w:rsidP="00497CDF">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2F14B3">
        <w:rPr>
          <w:i w:val="0"/>
          <w:iCs w:val="0"/>
        </w:rPr>
        <w:t>Soit</w:t>
      </w:r>
      <w:r w:rsidR="00497CDF" w:rsidRPr="002F14B3">
        <w:rPr>
          <w:i w:val="0"/>
          <w:iCs w:val="0"/>
        </w:rPr>
        <w:t xml:space="preserve"> par une ou plusieurs associations affiliées à une organisation siégeant à la commission nationale de concertation, présentes dans le patrimoine du bailleur ;</w:t>
      </w:r>
    </w:p>
    <w:p w14:paraId="55066152" w14:textId="29A1D592" w:rsidR="00497CDF" w:rsidRPr="002F14B3" w:rsidRDefault="002F14B3" w:rsidP="00497CDF">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2F14B3">
        <w:rPr>
          <w:i w:val="0"/>
          <w:iCs w:val="0"/>
        </w:rPr>
        <w:t>Soit</w:t>
      </w:r>
      <w:r w:rsidR="00497CDF" w:rsidRPr="002F14B3">
        <w:rPr>
          <w:i w:val="0"/>
          <w:iCs w:val="0"/>
        </w:rPr>
        <w:t xml:space="preserve"> par une ou plusieurs associations regroupant au moins 50 % des voix des locataires aux élections au conseil d'administration ou au conseil de surveillance de l'organisme ;</w:t>
      </w:r>
    </w:p>
    <w:p w14:paraId="05A78BB3" w14:textId="310D3731" w:rsidR="00497CDF" w:rsidRPr="002F14B3" w:rsidRDefault="002F14B3" w:rsidP="00497CDF">
      <w:pPr>
        <w:spacing w:line="228" w:lineRule="auto"/>
        <w:ind w:left="851" w:hanging="142"/>
        <w:rPr>
          <w:i w:val="0"/>
          <w:iCs w:val="0"/>
        </w:rPr>
      </w:pPr>
      <w:r>
        <w:rPr>
          <w:i w:val="0"/>
          <w:iCs w:val="0"/>
          <w:color w:val="C83232" w:themeColor="accent2"/>
        </w:rPr>
        <w:sym w:font="Wingdings" w:char="F0A7"/>
      </w:r>
      <w:r w:rsidRPr="00F40F7C">
        <w:rPr>
          <w:i w:val="0"/>
          <w:iCs w:val="0"/>
          <w:color w:val="C83232" w:themeColor="accent2"/>
        </w:rPr>
        <w:tab/>
      </w:r>
      <w:r w:rsidRPr="002F14B3">
        <w:rPr>
          <w:i w:val="0"/>
          <w:iCs w:val="0"/>
        </w:rPr>
        <w:t>Soit</w:t>
      </w:r>
      <w:r w:rsidR="00497CDF" w:rsidRPr="002F14B3">
        <w:rPr>
          <w:i w:val="0"/>
          <w:iCs w:val="0"/>
        </w:rPr>
        <w:t xml:space="preserve"> par une ou plusieurs associations regroupant au moins 20 % des locataires concernés par l'accord.</w:t>
      </w:r>
    </w:p>
    <w:p w14:paraId="2B5790E2" w14:textId="66086C12" w:rsidR="00497CDF" w:rsidRPr="00497CDF" w:rsidRDefault="00475205" w:rsidP="00C45CDB">
      <w:pPr>
        <w:spacing w:before="100" w:line="228" w:lineRule="auto"/>
        <w:ind w:left="284"/>
        <w:rPr>
          <w:rFonts w:ascii="Calibri" w:eastAsia="Calibri" w:hAnsi="Calibri"/>
          <w:i w:val="0"/>
          <w:iCs w:val="0"/>
        </w:rPr>
      </w:pPr>
      <w:r>
        <w:rPr>
          <w:rFonts w:ascii="Calibri" w:eastAsia="Calibri" w:hAnsi="Calibri"/>
          <w:i w:val="0"/>
          <w:iCs w:val="0"/>
        </w:rPr>
        <w:t>Mais cet accord tombe</w:t>
      </w:r>
      <w:r w:rsidR="00497CDF" w:rsidRPr="00497CDF">
        <w:rPr>
          <w:rFonts w:ascii="Calibri" w:eastAsia="Calibri" w:hAnsi="Calibri"/>
          <w:i w:val="0"/>
          <w:iCs w:val="0"/>
        </w:rPr>
        <w:t xml:space="preserve"> s'il</w:t>
      </w:r>
      <w:r>
        <w:rPr>
          <w:rFonts w:ascii="Calibri" w:eastAsia="Calibri" w:hAnsi="Calibri"/>
          <w:i w:val="0"/>
          <w:iCs w:val="0"/>
        </w:rPr>
        <w:t xml:space="preserve"> a</w:t>
      </w:r>
      <w:r w:rsidR="00497CDF" w:rsidRPr="00497CDF">
        <w:rPr>
          <w:rFonts w:ascii="Calibri" w:eastAsia="Calibri" w:hAnsi="Calibri"/>
          <w:i w:val="0"/>
          <w:iCs w:val="0"/>
        </w:rPr>
        <w:t xml:space="preserve"> été rejeté par écrit par 50 % des locataires concernés, dans un délai de deux mois à compter de leur notification individuelle par le bailleur.</w:t>
      </w:r>
    </w:p>
    <w:p w14:paraId="07A2B762" w14:textId="7497DCA8" w:rsidR="00497CDF" w:rsidRPr="00497CDF" w:rsidRDefault="00497CDF" w:rsidP="00C45CDB">
      <w:pPr>
        <w:spacing w:before="100" w:line="228" w:lineRule="auto"/>
        <w:ind w:left="284"/>
        <w:rPr>
          <w:rFonts w:ascii="Calibri" w:eastAsia="Calibri" w:hAnsi="Calibri"/>
          <w:i w:val="0"/>
          <w:iCs w:val="0"/>
        </w:rPr>
      </w:pPr>
      <w:r w:rsidRPr="00497CDF">
        <w:rPr>
          <w:rFonts w:ascii="Calibri" w:eastAsia="Calibri" w:hAnsi="Calibri"/>
          <w:i w:val="0"/>
          <w:iCs w:val="0"/>
        </w:rPr>
        <w:t xml:space="preserve">En l'absence d'accords signés, le bailleur peut en outre proposer directement aux locataires des accords de même nature. </w:t>
      </w:r>
      <w:r w:rsidR="00475205">
        <w:rPr>
          <w:rFonts w:ascii="Calibri" w:eastAsia="Calibri" w:hAnsi="Calibri"/>
          <w:i w:val="0"/>
          <w:iCs w:val="0"/>
        </w:rPr>
        <w:t>Il</w:t>
      </w:r>
      <w:r w:rsidRPr="00497CDF">
        <w:rPr>
          <w:rFonts w:ascii="Calibri" w:eastAsia="Calibri" w:hAnsi="Calibri"/>
          <w:i w:val="0"/>
          <w:iCs w:val="0"/>
        </w:rPr>
        <w:t xml:space="preserve"> </w:t>
      </w:r>
      <w:r w:rsidR="00475205">
        <w:rPr>
          <w:rFonts w:ascii="Calibri" w:eastAsia="Calibri" w:hAnsi="Calibri"/>
          <w:i w:val="0"/>
          <w:iCs w:val="0"/>
        </w:rPr>
        <w:t>est</w:t>
      </w:r>
      <w:r w:rsidRPr="00497CDF">
        <w:rPr>
          <w:rFonts w:ascii="Calibri" w:eastAsia="Calibri" w:hAnsi="Calibri"/>
          <w:i w:val="0"/>
          <w:iCs w:val="0"/>
        </w:rPr>
        <w:t xml:space="preserve"> réputé applicable dès lors qu'il </w:t>
      </w:r>
      <w:r w:rsidR="00475205">
        <w:rPr>
          <w:rFonts w:ascii="Calibri" w:eastAsia="Calibri" w:hAnsi="Calibri"/>
          <w:i w:val="0"/>
          <w:iCs w:val="0"/>
        </w:rPr>
        <w:t>a</w:t>
      </w:r>
      <w:r w:rsidRPr="00497CDF">
        <w:rPr>
          <w:rFonts w:ascii="Calibri" w:eastAsia="Calibri" w:hAnsi="Calibri"/>
          <w:i w:val="0"/>
          <w:iCs w:val="0"/>
        </w:rPr>
        <w:t xml:space="preserve"> été </w:t>
      </w:r>
      <w:r w:rsidR="00475205" w:rsidRPr="00497CDF">
        <w:rPr>
          <w:rFonts w:ascii="Calibri" w:eastAsia="Calibri" w:hAnsi="Calibri"/>
          <w:i w:val="0"/>
          <w:iCs w:val="0"/>
        </w:rPr>
        <w:t>approuvé</w:t>
      </w:r>
      <w:r w:rsidRPr="00497CDF">
        <w:rPr>
          <w:rFonts w:ascii="Calibri" w:eastAsia="Calibri" w:hAnsi="Calibri"/>
          <w:i w:val="0"/>
          <w:iCs w:val="0"/>
        </w:rPr>
        <w:t>, par écrit, par la majorité des locataires concernés par l'accord qui se sont exprimés, dans un délai de deux mois à compter de la réception de la notification individuelle par le bailleur, à condition que 25 % des locataires concernés par l'accord se soient exprimés. A défaut, une nouvelle consultation est alors engagée et l'accord est réputé applicable dès lors qu'il a été approuvé, par écrit, par la majorité des locataires qui se sont exprimés, dans un délai de deux mois à compter de la réception de la nouvelle notification individuelle par le bailleur.</w:t>
      </w:r>
    </w:p>
    <w:p w14:paraId="355AA49B" w14:textId="2B698FC5" w:rsidR="00497CDF" w:rsidRDefault="00497CDF" w:rsidP="00C45CDB">
      <w:pPr>
        <w:spacing w:before="100" w:line="228" w:lineRule="auto"/>
        <w:ind w:left="284"/>
        <w:rPr>
          <w:rFonts w:ascii="Calibri" w:eastAsia="Calibri" w:hAnsi="Calibri"/>
          <w:i w:val="0"/>
          <w:iCs w:val="0"/>
        </w:rPr>
      </w:pPr>
      <w:r w:rsidRPr="00497CDF">
        <w:rPr>
          <w:rFonts w:ascii="Calibri" w:eastAsia="Calibri" w:hAnsi="Calibri"/>
          <w:i w:val="0"/>
          <w:iCs w:val="0"/>
        </w:rPr>
        <w:t>Dans tous les cas, il n'est attribué qu'une seule voix par logement loué.</w:t>
      </w:r>
    </w:p>
    <w:p w14:paraId="308AB8CE" w14:textId="77777777" w:rsidR="009030AE" w:rsidRPr="009030AE" w:rsidRDefault="009030AE" w:rsidP="009030AE">
      <w:pPr>
        <w:spacing w:before="100" w:line="228" w:lineRule="auto"/>
        <w:ind w:left="284"/>
        <w:rPr>
          <w:rFonts w:ascii="Calibri" w:eastAsia="Calibri" w:hAnsi="Calibri"/>
          <w:b/>
          <w:bCs/>
          <w:i w:val="0"/>
          <w:iCs w:val="0"/>
          <w:color w:val="C83232" w:themeColor="accent2"/>
        </w:rPr>
      </w:pPr>
      <w:r w:rsidRPr="009030AE">
        <w:rPr>
          <w:rFonts w:ascii="Calibri" w:eastAsia="Calibri" w:hAnsi="Calibri"/>
          <w:b/>
          <w:bCs/>
          <w:i w:val="0"/>
          <w:iCs w:val="0"/>
          <w:color w:val="C83232" w:themeColor="accent2"/>
        </w:rPr>
        <w:t xml:space="preserve">Au vu des informations dont nous disposons sur la situation, l’augmentation de 500 € est évidemment étonnante, demande à être contestée jusqu’à aller à refuser la réhabilitation mais nous ne pouvons guère en dire plus. </w:t>
      </w:r>
    </w:p>
    <w:p w14:paraId="0B209570" w14:textId="62EAC673" w:rsidR="002F14B3" w:rsidRDefault="002F14B3" w:rsidP="002F14B3">
      <w:pPr>
        <w:pStyle w:val="Titre2"/>
      </w:pPr>
      <w:r>
        <w:lastRenderedPageBreak/>
        <w:t>P</w:t>
      </w:r>
      <w:r w:rsidRPr="002F14B3">
        <w:t>lusieurs immeubles, une seule opération</w:t>
      </w:r>
    </w:p>
    <w:p w14:paraId="29D53AF8" w14:textId="56E97BD3" w:rsidR="002F14B3" w:rsidRDefault="002F14B3" w:rsidP="002F14B3">
      <w:pPr>
        <w:spacing w:before="120" w:line="228" w:lineRule="auto"/>
        <w:ind w:left="284"/>
        <w:rPr>
          <w:rFonts w:ascii="Calibri" w:eastAsia="Calibri" w:hAnsi="Calibri"/>
          <w:i w:val="0"/>
          <w:iCs w:val="0"/>
        </w:rPr>
      </w:pPr>
      <w:r>
        <w:rPr>
          <w:rFonts w:ascii="Calibri" w:eastAsia="Calibri" w:hAnsi="Calibri"/>
          <w:i w:val="0"/>
          <w:iCs w:val="0"/>
        </w:rPr>
        <w:t>Ce qui va déterminer, pour le bailleur, le périmètre d’une opération va être notamment son financement et la relation qui va s’établir avec l’autorité administrative</w:t>
      </w:r>
      <w:r w:rsidR="00C45CDB">
        <w:rPr>
          <w:rFonts w:ascii="Calibri" w:eastAsia="Calibri" w:hAnsi="Calibri"/>
          <w:i w:val="0"/>
          <w:iCs w:val="0"/>
        </w:rPr>
        <w:t xml:space="preserve"> dont on va par ailleurs solliciter l’autorisation pour poser une augmentation hors la révision annuelle.</w:t>
      </w:r>
      <w:r>
        <w:rPr>
          <w:rFonts w:ascii="Calibri" w:eastAsia="Calibri" w:hAnsi="Calibri"/>
          <w:i w:val="0"/>
          <w:iCs w:val="0"/>
        </w:rPr>
        <w:t xml:space="preserve"> </w:t>
      </w:r>
      <w:r w:rsidR="00C45CDB">
        <w:rPr>
          <w:rFonts w:ascii="Calibri" w:eastAsia="Calibri" w:hAnsi="Calibri"/>
          <w:i w:val="0"/>
          <w:iCs w:val="0"/>
        </w:rPr>
        <w:t>Ainsi, il y a beau y avoir 4 immeubles, la réhabilitation sera considérée comme une seule opération.</w:t>
      </w:r>
    </w:p>
    <w:p w14:paraId="77B06D80" w14:textId="09E6E11F" w:rsidR="00C45CDB" w:rsidRDefault="00C45CDB" w:rsidP="00C45CDB">
      <w:pPr>
        <w:pStyle w:val="Titre2"/>
      </w:pPr>
      <w:r>
        <w:t>S</w:t>
      </w:r>
      <w:r w:rsidRPr="00C45CDB">
        <w:t>urfaces corrigées et surfaces habitables</w:t>
      </w:r>
    </w:p>
    <w:p w14:paraId="0E450346" w14:textId="448E1039" w:rsidR="00C45CDB" w:rsidRDefault="00C45CDB" w:rsidP="00C45CDB">
      <w:pPr>
        <w:spacing w:before="120" w:line="228" w:lineRule="auto"/>
        <w:ind w:left="284"/>
        <w:rPr>
          <w:rFonts w:ascii="Calibri" w:eastAsia="Calibri" w:hAnsi="Calibri"/>
          <w:i w:val="0"/>
          <w:iCs w:val="0"/>
        </w:rPr>
      </w:pPr>
      <w:r w:rsidRPr="00C45CDB">
        <w:rPr>
          <w:rFonts w:ascii="Calibri" w:eastAsia="Calibri" w:hAnsi="Calibri"/>
          <w:i w:val="0"/>
          <w:iCs w:val="0"/>
        </w:rPr>
        <w:t>Depuis 2009 et l’entrée en vigueur de la loi Boutin</w:t>
      </w:r>
      <w:r w:rsidR="00747B96">
        <w:rPr>
          <w:rStyle w:val="Appelnotedebasdep"/>
          <w:i w:val="0"/>
          <w:iCs w:val="0"/>
        </w:rPr>
        <w:footnoteReference w:id="4"/>
      </w:r>
      <w:r w:rsidRPr="00C45CDB">
        <w:rPr>
          <w:rFonts w:ascii="Calibri" w:eastAsia="Calibri" w:hAnsi="Calibri"/>
          <w:i w:val="0"/>
          <w:iCs w:val="0"/>
        </w:rPr>
        <w:t xml:space="preserve"> (loi de mobilisation pour le logement et la lutte contre l’exclusion), la surface habitable d’un logement doit figurer dans le contrat de location des biens immobiliers loués vides et comme résidences principales.</w:t>
      </w:r>
      <w:r w:rsidR="00747B96">
        <w:rPr>
          <w:rFonts w:ascii="Calibri" w:eastAsia="Calibri" w:hAnsi="Calibri"/>
          <w:i w:val="0"/>
          <w:iCs w:val="0"/>
        </w:rPr>
        <w:t xml:space="preserve"> (Voir </w:t>
      </w:r>
      <w:hyperlink r:id="rId9" w:history="1">
        <w:r w:rsidR="00747B96" w:rsidRPr="00747B96">
          <w:rPr>
            <w:rStyle w:val="Lienhypertexte"/>
            <w:rFonts w:ascii="Calibri" w:eastAsia="Calibri" w:hAnsi="Calibri"/>
            <w:i w:val="0"/>
            <w:iCs w:val="0"/>
          </w:rPr>
          <w:t>article 3 4</w:t>
        </w:r>
      </w:hyperlink>
      <w:r w:rsidR="00747B96">
        <w:rPr>
          <w:rFonts w:ascii="Calibri" w:eastAsia="Calibri" w:hAnsi="Calibri"/>
          <w:i w:val="0"/>
          <w:iCs w:val="0"/>
        </w:rPr>
        <w:t xml:space="preserve">° </w:t>
      </w:r>
      <w:bookmarkStart w:id="6" w:name="_Hlk188358069"/>
      <w:r w:rsidR="00747B96">
        <w:rPr>
          <w:rFonts w:ascii="Calibri" w:eastAsia="Calibri" w:hAnsi="Calibri"/>
          <w:i w:val="0"/>
          <w:iCs w:val="0"/>
        </w:rPr>
        <w:t>Loi Mermaz</w:t>
      </w:r>
      <w:bookmarkStart w:id="7" w:name="_Ref188358098"/>
      <w:bookmarkEnd w:id="6"/>
      <w:r w:rsidR="00747B96">
        <w:rPr>
          <w:rStyle w:val="Appelnotedebasdep"/>
          <w:i w:val="0"/>
          <w:iCs w:val="0"/>
        </w:rPr>
        <w:footnoteReference w:id="5"/>
      </w:r>
      <w:bookmarkEnd w:id="7"/>
      <w:r w:rsidR="00747B96">
        <w:rPr>
          <w:rFonts w:ascii="Calibri" w:eastAsia="Calibri" w:hAnsi="Calibri"/>
          <w:i w:val="0"/>
          <w:iCs w:val="0"/>
        </w:rPr>
        <w:t>).</w:t>
      </w:r>
    </w:p>
    <w:p w14:paraId="44CBE883" w14:textId="3E2EB4BC" w:rsidR="00747B96" w:rsidRDefault="00AF419E" w:rsidP="00C45CDB">
      <w:pPr>
        <w:spacing w:before="120" w:line="228" w:lineRule="auto"/>
        <w:ind w:left="284"/>
        <w:rPr>
          <w:rFonts w:ascii="Calibri" w:eastAsia="Calibri" w:hAnsi="Calibri"/>
          <w:i w:val="0"/>
          <w:iCs w:val="0"/>
        </w:rPr>
      </w:pPr>
      <w:r>
        <w:rPr>
          <w:rFonts w:ascii="Calibri" w:eastAsia="Calibri" w:hAnsi="Calibri"/>
          <w:i w:val="0"/>
          <w:iCs w:val="0"/>
        </w:rPr>
        <w:t>Mais</w:t>
      </w:r>
      <w:r w:rsidR="00747B96">
        <w:rPr>
          <w:rFonts w:ascii="Calibri" w:eastAsia="Calibri" w:hAnsi="Calibri"/>
          <w:i w:val="0"/>
          <w:iCs w:val="0"/>
        </w:rPr>
        <w:t>, pour les logements locatifs sociaux, le montant du loyer est déterminé par, soit la surface utile, soit la surface corrigé</w:t>
      </w:r>
      <w:r w:rsidR="00843C45">
        <w:rPr>
          <w:rFonts w:ascii="Calibri" w:eastAsia="Calibri" w:hAnsi="Calibri"/>
          <w:i w:val="0"/>
          <w:iCs w:val="0"/>
        </w:rPr>
        <w:t>e</w:t>
      </w:r>
      <w:r w:rsidR="00747B96">
        <w:rPr>
          <w:rFonts w:ascii="Calibri" w:eastAsia="Calibri" w:hAnsi="Calibri"/>
          <w:i w:val="0"/>
          <w:iCs w:val="0"/>
        </w:rPr>
        <w:t>.</w:t>
      </w:r>
    </w:p>
    <w:p w14:paraId="275C9D79" w14:textId="6DC79439" w:rsidR="00843C45" w:rsidRDefault="00747B96" w:rsidP="00C45CDB">
      <w:pPr>
        <w:spacing w:before="120" w:line="228" w:lineRule="auto"/>
        <w:ind w:left="284"/>
        <w:rPr>
          <w:rFonts w:ascii="Calibri" w:eastAsia="Calibri" w:hAnsi="Calibri"/>
          <w:i w:val="0"/>
          <w:iCs w:val="0"/>
        </w:rPr>
      </w:pPr>
      <w:r>
        <w:rPr>
          <w:rFonts w:ascii="Calibri" w:eastAsia="Calibri" w:hAnsi="Calibri"/>
          <w:i w:val="0"/>
          <w:iCs w:val="0"/>
        </w:rPr>
        <w:t xml:space="preserve">Si la surface utile est proche de la réalité physique d’un logement puisqu’il s’agit grosso-modo de la surface habitable à laquelle s’ajoute la moitié </w:t>
      </w:r>
      <w:r w:rsidRPr="00747B96">
        <w:rPr>
          <w:rFonts w:ascii="Calibri" w:eastAsia="Calibri" w:hAnsi="Calibri"/>
          <w:i w:val="0"/>
          <w:iCs w:val="0"/>
        </w:rPr>
        <w:t>de la surface des annexes</w:t>
      </w:r>
      <w:r w:rsidR="00843C45">
        <w:rPr>
          <w:rStyle w:val="Appelnotedebasdep"/>
          <w:i w:val="0"/>
          <w:iCs w:val="0"/>
        </w:rPr>
        <w:footnoteReference w:id="6"/>
      </w:r>
      <w:r w:rsidR="00843C45">
        <w:rPr>
          <w:rFonts w:ascii="Calibri" w:eastAsia="Calibri" w:hAnsi="Calibri"/>
          <w:i w:val="0"/>
          <w:iCs w:val="0"/>
        </w:rPr>
        <w:t>, il n’en est rien pour l</w:t>
      </w:r>
      <w:r w:rsidR="00C45CDB" w:rsidRPr="00C45CDB">
        <w:rPr>
          <w:rFonts w:ascii="Calibri" w:eastAsia="Calibri" w:hAnsi="Calibri"/>
          <w:i w:val="0"/>
          <w:iCs w:val="0"/>
        </w:rPr>
        <w:t xml:space="preserve">a surface corrigée </w:t>
      </w:r>
      <w:r w:rsidR="00843C45">
        <w:rPr>
          <w:rFonts w:ascii="Calibri" w:eastAsia="Calibri" w:hAnsi="Calibri"/>
          <w:i w:val="0"/>
          <w:iCs w:val="0"/>
        </w:rPr>
        <w:t>dont le calcul est complexe et résulte d’un décret de 1948</w:t>
      </w:r>
      <w:r w:rsidR="00843C45">
        <w:rPr>
          <w:rStyle w:val="Appelnotedebasdep"/>
          <w:i w:val="0"/>
          <w:iCs w:val="0"/>
        </w:rPr>
        <w:footnoteReference w:id="7"/>
      </w:r>
      <w:r w:rsidR="00843C45">
        <w:rPr>
          <w:rFonts w:ascii="Calibri" w:eastAsia="Calibri" w:hAnsi="Calibri"/>
          <w:i w:val="0"/>
          <w:iCs w:val="0"/>
        </w:rPr>
        <w:t>.</w:t>
      </w:r>
    </w:p>
    <w:p w14:paraId="2D52ECEF" w14:textId="467BDF1D" w:rsidR="00843C45" w:rsidRDefault="00843C45" w:rsidP="00843C45">
      <w:pPr>
        <w:spacing w:before="120" w:line="228" w:lineRule="auto"/>
        <w:ind w:left="284"/>
        <w:rPr>
          <w:rFonts w:ascii="Calibri" w:eastAsia="Calibri" w:hAnsi="Calibri"/>
          <w:i w:val="0"/>
          <w:iCs w:val="0"/>
        </w:rPr>
      </w:pPr>
      <w:r>
        <w:rPr>
          <w:rFonts w:ascii="Calibri" w:eastAsia="Calibri" w:hAnsi="Calibri"/>
          <w:i w:val="0"/>
          <w:iCs w:val="0"/>
        </w:rPr>
        <w:t>Son calcul différencie trois types de pièces ayant une définition spécifique et dont la surface est pondérée :</w:t>
      </w:r>
    </w:p>
    <w:p w14:paraId="0747D807" w14:textId="5034625C" w:rsidR="00843C45" w:rsidRPr="00843C45" w:rsidRDefault="00AF419E" w:rsidP="00AF419E">
      <w:pPr>
        <w:spacing w:line="228" w:lineRule="auto"/>
        <w:ind w:left="851" w:hanging="142"/>
        <w:rPr>
          <w:rFonts w:ascii="Calibri" w:eastAsia="Calibri" w:hAnsi="Calibri"/>
          <w:i w:val="0"/>
          <w:iCs w:val="0"/>
        </w:rPr>
      </w:pPr>
      <w:r>
        <w:rPr>
          <w:i w:val="0"/>
          <w:iCs w:val="0"/>
          <w:color w:val="C83232" w:themeColor="accent2"/>
        </w:rPr>
        <w:sym w:font="Wingdings" w:char="F0A7"/>
      </w:r>
      <w:r w:rsidRPr="00F40F7C">
        <w:rPr>
          <w:i w:val="0"/>
          <w:iCs w:val="0"/>
          <w:color w:val="C83232" w:themeColor="accent2"/>
        </w:rPr>
        <w:tab/>
      </w:r>
      <w:r w:rsidR="00843C45" w:rsidRPr="00843C45">
        <w:rPr>
          <w:rFonts w:ascii="Calibri" w:eastAsia="Calibri" w:hAnsi="Calibri"/>
          <w:i w:val="0"/>
          <w:iCs w:val="0"/>
        </w:rPr>
        <w:t xml:space="preserve">Des pièces </w:t>
      </w:r>
      <w:r w:rsidR="00843C45" w:rsidRPr="00AF419E">
        <w:rPr>
          <w:i w:val="0"/>
          <w:iCs w:val="0"/>
        </w:rPr>
        <w:t>habitables</w:t>
      </w:r>
      <w:r w:rsidR="00843C45">
        <w:rPr>
          <w:rFonts w:ascii="Calibri" w:eastAsia="Calibri" w:hAnsi="Calibri"/>
          <w:i w:val="0"/>
          <w:iCs w:val="0"/>
        </w:rPr>
        <w:t xml:space="preserve"> (coef 1) ;</w:t>
      </w:r>
    </w:p>
    <w:p w14:paraId="6178BFFD" w14:textId="7C595A59" w:rsidR="00843C45" w:rsidRPr="00843C45" w:rsidRDefault="00AF419E" w:rsidP="00AF419E">
      <w:pPr>
        <w:spacing w:line="228" w:lineRule="auto"/>
        <w:ind w:left="851" w:hanging="142"/>
        <w:rPr>
          <w:rFonts w:ascii="Calibri" w:eastAsia="Calibri" w:hAnsi="Calibri"/>
          <w:i w:val="0"/>
          <w:iCs w:val="0"/>
        </w:rPr>
      </w:pPr>
      <w:r>
        <w:rPr>
          <w:i w:val="0"/>
          <w:iCs w:val="0"/>
          <w:color w:val="C83232" w:themeColor="accent2"/>
        </w:rPr>
        <w:sym w:font="Wingdings" w:char="F0A7"/>
      </w:r>
      <w:r w:rsidRPr="00F40F7C">
        <w:rPr>
          <w:i w:val="0"/>
          <w:iCs w:val="0"/>
          <w:color w:val="C83232" w:themeColor="accent2"/>
        </w:rPr>
        <w:tab/>
      </w:r>
      <w:r w:rsidR="00843C45" w:rsidRPr="00843C45">
        <w:rPr>
          <w:rFonts w:ascii="Calibri" w:eastAsia="Calibri" w:hAnsi="Calibri"/>
          <w:i w:val="0"/>
          <w:iCs w:val="0"/>
        </w:rPr>
        <w:t xml:space="preserve">Des pièces </w:t>
      </w:r>
      <w:r w:rsidR="00843C45" w:rsidRPr="00AF419E">
        <w:rPr>
          <w:i w:val="0"/>
          <w:iCs w:val="0"/>
        </w:rPr>
        <w:t>secondaires</w:t>
      </w:r>
      <w:r w:rsidR="00843C45">
        <w:rPr>
          <w:rFonts w:ascii="Calibri" w:eastAsia="Calibri" w:hAnsi="Calibri"/>
          <w:i w:val="0"/>
          <w:iCs w:val="0"/>
        </w:rPr>
        <w:t xml:space="preserve"> (coef 0,9) ;</w:t>
      </w:r>
    </w:p>
    <w:p w14:paraId="4F4E0FB0" w14:textId="63F7938D" w:rsidR="00843C45" w:rsidRDefault="00AF419E" w:rsidP="00AF419E">
      <w:pPr>
        <w:spacing w:line="228" w:lineRule="auto"/>
        <w:ind w:left="851" w:hanging="142"/>
        <w:rPr>
          <w:rFonts w:ascii="Calibri" w:eastAsia="Calibri" w:hAnsi="Calibri"/>
          <w:i w:val="0"/>
          <w:iCs w:val="0"/>
        </w:rPr>
      </w:pPr>
      <w:r>
        <w:rPr>
          <w:i w:val="0"/>
          <w:iCs w:val="0"/>
          <w:color w:val="C83232" w:themeColor="accent2"/>
        </w:rPr>
        <w:sym w:font="Wingdings" w:char="F0A7"/>
      </w:r>
      <w:r w:rsidRPr="00F40F7C">
        <w:rPr>
          <w:i w:val="0"/>
          <w:iCs w:val="0"/>
          <w:color w:val="C83232" w:themeColor="accent2"/>
        </w:rPr>
        <w:tab/>
      </w:r>
      <w:r w:rsidR="00843C45" w:rsidRPr="00843C45">
        <w:rPr>
          <w:rFonts w:ascii="Calibri" w:eastAsia="Calibri" w:hAnsi="Calibri"/>
          <w:i w:val="0"/>
          <w:iCs w:val="0"/>
        </w:rPr>
        <w:t>Des annexes</w:t>
      </w:r>
      <w:r w:rsidR="00843C45">
        <w:rPr>
          <w:rFonts w:ascii="Calibri" w:eastAsia="Calibri" w:hAnsi="Calibri"/>
          <w:i w:val="0"/>
          <w:iCs w:val="0"/>
        </w:rPr>
        <w:t xml:space="preserve"> (coef 0,6 ou 1).</w:t>
      </w:r>
    </w:p>
    <w:p w14:paraId="633F81E1" w14:textId="42B29AE2" w:rsidR="00843C45" w:rsidRDefault="00AF419E" w:rsidP="00843C45">
      <w:pPr>
        <w:spacing w:before="120" w:line="228" w:lineRule="auto"/>
        <w:ind w:left="284"/>
        <w:rPr>
          <w:rFonts w:ascii="Calibri" w:eastAsia="Calibri" w:hAnsi="Calibri"/>
          <w:i w:val="0"/>
          <w:iCs w:val="0"/>
        </w:rPr>
      </w:pPr>
      <w:r>
        <w:rPr>
          <w:rFonts w:ascii="Calibri" w:eastAsia="Calibri" w:hAnsi="Calibri"/>
          <w:i w:val="0"/>
          <w:iCs w:val="0"/>
        </w:rPr>
        <w:t>Jusque-là</w:t>
      </w:r>
      <w:r w:rsidR="00843C45">
        <w:rPr>
          <w:rFonts w:ascii="Calibri" w:eastAsia="Calibri" w:hAnsi="Calibri"/>
          <w:i w:val="0"/>
          <w:iCs w:val="0"/>
        </w:rPr>
        <w:t>, le calcul reste simple. Mais s’y ajoute un</w:t>
      </w:r>
      <w:r>
        <w:rPr>
          <w:rFonts w:ascii="Calibri" w:eastAsia="Calibri" w:hAnsi="Calibri"/>
          <w:i w:val="0"/>
          <w:iCs w:val="0"/>
        </w:rPr>
        <w:t>e</w:t>
      </w:r>
      <w:r w:rsidR="00843C45">
        <w:rPr>
          <w:rFonts w:ascii="Calibri" w:eastAsia="Calibri" w:hAnsi="Calibri"/>
          <w:i w:val="0"/>
          <w:iCs w:val="0"/>
        </w:rPr>
        <w:t xml:space="preserve"> second</w:t>
      </w:r>
      <w:r>
        <w:rPr>
          <w:rFonts w:ascii="Calibri" w:eastAsia="Calibri" w:hAnsi="Calibri"/>
          <w:i w:val="0"/>
          <w:iCs w:val="0"/>
        </w:rPr>
        <w:t>e volée de</w:t>
      </w:r>
      <w:r w:rsidR="00843C45">
        <w:rPr>
          <w:rFonts w:ascii="Calibri" w:eastAsia="Calibri" w:hAnsi="Calibri"/>
          <w:i w:val="0"/>
          <w:iCs w:val="0"/>
        </w:rPr>
        <w:t xml:space="preserve"> correctif correspondant à des éléments de confort se rapportant à</w:t>
      </w:r>
      <w:r w:rsidRPr="00AF419E">
        <w:t xml:space="preserve"> </w:t>
      </w:r>
      <w:r w:rsidRPr="00AF419E">
        <w:rPr>
          <w:rFonts w:ascii="Calibri" w:eastAsia="Calibri" w:hAnsi="Calibri"/>
          <w:i w:val="0"/>
          <w:iCs w:val="0"/>
        </w:rPr>
        <w:t xml:space="preserve">l'éclairement, </w:t>
      </w:r>
      <w:r>
        <w:rPr>
          <w:rFonts w:ascii="Calibri" w:eastAsia="Calibri" w:hAnsi="Calibri"/>
          <w:i w:val="0"/>
          <w:iCs w:val="0"/>
        </w:rPr>
        <w:t>à</w:t>
      </w:r>
      <w:r w:rsidRPr="00AF419E">
        <w:rPr>
          <w:rFonts w:ascii="Calibri" w:eastAsia="Calibri" w:hAnsi="Calibri"/>
          <w:i w:val="0"/>
          <w:iCs w:val="0"/>
        </w:rPr>
        <w:t xml:space="preserve"> l'ensoleillement et </w:t>
      </w:r>
      <w:r>
        <w:rPr>
          <w:rFonts w:ascii="Calibri" w:eastAsia="Calibri" w:hAnsi="Calibri"/>
          <w:i w:val="0"/>
          <w:iCs w:val="0"/>
        </w:rPr>
        <w:t>aux</w:t>
      </w:r>
      <w:r w:rsidRPr="00AF419E">
        <w:rPr>
          <w:rFonts w:ascii="Calibri" w:eastAsia="Calibri" w:hAnsi="Calibri"/>
          <w:i w:val="0"/>
          <w:iCs w:val="0"/>
        </w:rPr>
        <w:t xml:space="preserve"> vues de la pièce</w:t>
      </w:r>
      <w:r>
        <w:rPr>
          <w:rFonts w:ascii="Calibri" w:eastAsia="Calibri" w:hAnsi="Calibri"/>
          <w:i w:val="0"/>
          <w:iCs w:val="0"/>
        </w:rPr>
        <w:t xml:space="preserve"> … et une troisième </w:t>
      </w:r>
      <w:r w:rsidRPr="00AF419E">
        <w:rPr>
          <w:rFonts w:ascii="Calibri" w:eastAsia="Calibri" w:hAnsi="Calibri"/>
          <w:i w:val="0"/>
          <w:iCs w:val="0"/>
        </w:rPr>
        <w:t>tenant compte, d'une part, de la vétusté et de l'état d'entretien du local et, d'autre part, de l'emplacement du local dans l'agglomération et des sujétions de voisinage.</w:t>
      </w:r>
      <w:r>
        <w:rPr>
          <w:rFonts w:ascii="Calibri" w:eastAsia="Calibri" w:hAnsi="Calibri"/>
          <w:i w:val="0"/>
          <w:iCs w:val="0"/>
        </w:rPr>
        <w:t xml:space="preserve"> Et pour finir, certains équipements sont convertis en mètres carrés s’ajoutant à la surface calculée.</w:t>
      </w:r>
    </w:p>
    <w:p w14:paraId="13086F2F" w14:textId="35302722" w:rsidR="00DD4CC1" w:rsidRDefault="00AF419E" w:rsidP="00AF419E">
      <w:pPr>
        <w:spacing w:before="120" w:line="228" w:lineRule="auto"/>
        <w:ind w:left="284"/>
        <w:rPr>
          <w:rFonts w:ascii="Calibri" w:eastAsia="Calibri" w:hAnsi="Calibri"/>
          <w:i w:val="0"/>
          <w:iCs w:val="0"/>
        </w:rPr>
      </w:pPr>
      <w:r>
        <w:rPr>
          <w:rFonts w:ascii="Calibri" w:eastAsia="Calibri" w:hAnsi="Calibri"/>
          <w:i w:val="0"/>
          <w:iCs w:val="0"/>
        </w:rPr>
        <w:t xml:space="preserve">Ainsi, il n’y a rien d’étonnant à avoir </w:t>
      </w:r>
      <w:r w:rsidRPr="00AF419E">
        <w:rPr>
          <w:rFonts w:ascii="Calibri" w:eastAsia="Calibri" w:hAnsi="Calibri"/>
          <w:i w:val="0"/>
          <w:iCs w:val="0"/>
        </w:rPr>
        <w:t xml:space="preserve">un appartement de 50 mètres carrés </w:t>
      </w:r>
      <w:r>
        <w:rPr>
          <w:rFonts w:ascii="Calibri" w:eastAsia="Calibri" w:hAnsi="Calibri"/>
          <w:i w:val="0"/>
          <w:iCs w:val="0"/>
        </w:rPr>
        <w:t>en surface habitable pour lequel la</w:t>
      </w:r>
      <w:r w:rsidRPr="00AF419E">
        <w:rPr>
          <w:rFonts w:ascii="Calibri" w:eastAsia="Calibri" w:hAnsi="Calibri"/>
          <w:i w:val="0"/>
          <w:iCs w:val="0"/>
        </w:rPr>
        <w:t xml:space="preserve"> surface corrigée </w:t>
      </w:r>
      <w:r>
        <w:rPr>
          <w:rFonts w:ascii="Calibri" w:eastAsia="Calibri" w:hAnsi="Calibri"/>
          <w:i w:val="0"/>
          <w:iCs w:val="0"/>
        </w:rPr>
        <w:t>a été calculée à</w:t>
      </w:r>
      <w:r w:rsidRPr="00AF419E">
        <w:rPr>
          <w:rFonts w:ascii="Calibri" w:eastAsia="Calibri" w:hAnsi="Calibri"/>
          <w:i w:val="0"/>
          <w:iCs w:val="0"/>
        </w:rPr>
        <w:t xml:space="preserve"> 98 mètres carrés</w:t>
      </w:r>
      <w:r>
        <w:rPr>
          <w:rFonts w:ascii="Calibri" w:eastAsia="Calibri" w:hAnsi="Calibri"/>
          <w:i w:val="0"/>
          <w:iCs w:val="0"/>
        </w:rPr>
        <w:t>.</w:t>
      </w:r>
      <w:bookmarkEnd w:id="1"/>
    </w:p>
    <w:p w14:paraId="004A5311" w14:textId="27F10413" w:rsidR="00AF419E" w:rsidRDefault="00AF419E" w:rsidP="00AF419E">
      <w:pPr>
        <w:pStyle w:val="Titre2"/>
      </w:pPr>
      <w:r w:rsidRPr="00AF419E">
        <w:t>Avenant au bail à l’issue d’une réhabilitation</w:t>
      </w:r>
    </w:p>
    <w:p w14:paraId="5E58C5A7" w14:textId="0674DE1C" w:rsidR="00AF419E" w:rsidRDefault="008728AF" w:rsidP="00AF419E">
      <w:pPr>
        <w:spacing w:before="120" w:line="228" w:lineRule="auto"/>
        <w:ind w:left="284"/>
        <w:rPr>
          <w:rFonts w:ascii="Calibri" w:eastAsia="Calibri" w:hAnsi="Calibri"/>
          <w:i w:val="0"/>
          <w:iCs w:val="0"/>
        </w:rPr>
      </w:pPr>
      <w:r w:rsidRPr="008728AF">
        <w:rPr>
          <w:rFonts w:ascii="Calibri" w:eastAsia="Calibri" w:hAnsi="Calibri"/>
          <w:i w:val="0"/>
          <w:iCs w:val="0"/>
        </w:rPr>
        <w:t xml:space="preserve">Un avenant au bail est un document écrit qui permet de modifier ou compléter les clauses du contrat de location initial entre le propriétaire et le locataire. Il est signé par les deux parties pour être légalement contraignant et peut concerner divers aspects du bail tels que la durée, le loyer ou les charges. </w:t>
      </w:r>
    </w:p>
    <w:p w14:paraId="6F4261B7" w14:textId="71CED8B5" w:rsidR="008728AF" w:rsidRDefault="008728AF" w:rsidP="00AF419E">
      <w:pPr>
        <w:spacing w:before="120" w:line="228" w:lineRule="auto"/>
        <w:ind w:left="284"/>
        <w:rPr>
          <w:rFonts w:ascii="Calibri" w:eastAsia="Calibri" w:hAnsi="Calibri"/>
          <w:i w:val="0"/>
          <w:iCs w:val="0"/>
        </w:rPr>
      </w:pPr>
      <w:r>
        <w:rPr>
          <w:rFonts w:ascii="Calibri" w:eastAsia="Calibri" w:hAnsi="Calibri"/>
          <w:i w:val="0"/>
          <w:iCs w:val="0"/>
        </w:rPr>
        <w:t>Il ne se justifie que dès lors qu’il y a modification du bail à la suite d’une réhabilitation. Ce sera très probablement nécessaire si :</w:t>
      </w:r>
    </w:p>
    <w:p w14:paraId="4A872804" w14:textId="5F364FF3" w:rsidR="008728AF" w:rsidRDefault="00026567" w:rsidP="00026567">
      <w:pPr>
        <w:spacing w:line="228" w:lineRule="auto"/>
        <w:ind w:left="851" w:hanging="142"/>
        <w:rPr>
          <w:rFonts w:ascii="Calibri" w:eastAsia="Calibri" w:hAnsi="Calibri"/>
          <w:i w:val="0"/>
          <w:iCs w:val="0"/>
        </w:rPr>
      </w:pPr>
      <w:r>
        <w:rPr>
          <w:i w:val="0"/>
          <w:iCs w:val="0"/>
          <w:color w:val="C83232" w:themeColor="accent2"/>
        </w:rPr>
        <w:sym w:font="Wingdings" w:char="F0A7"/>
      </w:r>
      <w:r w:rsidRPr="00F40F7C">
        <w:rPr>
          <w:i w:val="0"/>
          <w:iCs w:val="0"/>
          <w:color w:val="C83232" w:themeColor="accent2"/>
        </w:rPr>
        <w:tab/>
      </w:r>
      <w:r w:rsidR="008728AF">
        <w:rPr>
          <w:rFonts w:ascii="Calibri" w:eastAsia="Calibri" w:hAnsi="Calibri"/>
          <w:i w:val="0"/>
          <w:iCs w:val="0"/>
        </w:rPr>
        <w:t>Les travaux améliorant le confort du logement</w:t>
      </w:r>
      <w:r>
        <w:rPr>
          <w:rFonts w:ascii="Calibri" w:eastAsia="Calibri" w:hAnsi="Calibri"/>
          <w:i w:val="0"/>
          <w:iCs w:val="0"/>
        </w:rPr>
        <w:t xml:space="preserve"> modifient</w:t>
      </w:r>
      <w:r w:rsidR="008728AF">
        <w:rPr>
          <w:rFonts w:ascii="Calibri" w:eastAsia="Calibri" w:hAnsi="Calibri"/>
          <w:i w:val="0"/>
          <w:iCs w:val="0"/>
        </w:rPr>
        <w:t xml:space="preserve"> le calcul de la surface corrigée</w:t>
      </w:r>
      <w:r>
        <w:rPr>
          <w:rFonts w:ascii="Calibri" w:eastAsia="Calibri" w:hAnsi="Calibri"/>
          <w:i w:val="0"/>
          <w:iCs w:val="0"/>
        </w:rPr>
        <w:t> ;</w:t>
      </w:r>
    </w:p>
    <w:p w14:paraId="5AA494AB" w14:textId="1B3456FE" w:rsidR="008728AF" w:rsidRPr="00AF419E" w:rsidRDefault="00026567" w:rsidP="00026567">
      <w:pPr>
        <w:spacing w:line="228" w:lineRule="auto"/>
        <w:ind w:left="851" w:hanging="142"/>
        <w:rPr>
          <w:rFonts w:ascii="Calibri" w:eastAsia="Calibri" w:hAnsi="Calibri"/>
          <w:i w:val="0"/>
          <w:iCs w:val="0"/>
        </w:rPr>
      </w:pPr>
      <w:r>
        <w:rPr>
          <w:i w:val="0"/>
          <w:iCs w:val="0"/>
          <w:color w:val="C83232" w:themeColor="accent2"/>
        </w:rPr>
        <w:sym w:font="Wingdings" w:char="F0A7"/>
      </w:r>
      <w:r w:rsidRPr="00F40F7C">
        <w:rPr>
          <w:i w:val="0"/>
          <w:iCs w:val="0"/>
          <w:color w:val="C83232" w:themeColor="accent2"/>
        </w:rPr>
        <w:tab/>
      </w:r>
      <w:r w:rsidR="008728AF">
        <w:rPr>
          <w:rFonts w:ascii="Calibri" w:eastAsia="Calibri" w:hAnsi="Calibri"/>
          <w:i w:val="0"/>
          <w:iCs w:val="0"/>
        </w:rPr>
        <w:t xml:space="preserve">Le bailleur a prévu la mise en place de la troisième ligne (voir </w:t>
      </w:r>
      <w:hyperlink r:id="rId10" w:history="1">
        <w:r w:rsidR="008728AF" w:rsidRPr="00026567">
          <w:rPr>
            <w:rStyle w:val="Lienhypertexte"/>
            <w:rFonts w:ascii="Calibri" w:eastAsia="Calibri" w:hAnsi="Calibri"/>
            <w:i w:val="0"/>
            <w:iCs w:val="0"/>
          </w:rPr>
          <w:t>art.</w:t>
        </w:r>
        <w:r w:rsidR="008728AF" w:rsidRPr="00026567">
          <w:rPr>
            <w:rStyle w:val="Lienhypertexte"/>
          </w:rPr>
          <w:t xml:space="preserve"> </w:t>
        </w:r>
        <w:r w:rsidR="008728AF" w:rsidRPr="00026567">
          <w:rPr>
            <w:rStyle w:val="Lienhypertexte"/>
            <w:rFonts w:ascii="Calibri" w:eastAsia="Calibri" w:hAnsi="Calibri"/>
            <w:i w:val="0"/>
            <w:iCs w:val="0"/>
          </w:rPr>
          <w:t>23-1</w:t>
        </w:r>
      </w:hyperlink>
      <w:r w:rsidR="008728AF">
        <w:rPr>
          <w:rFonts w:ascii="Calibri" w:eastAsia="Calibri" w:hAnsi="Calibri"/>
          <w:i w:val="0"/>
          <w:iCs w:val="0"/>
        </w:rPr>
        <w:t xml:space="preserve"> de la </w:t>
      </w:r>
      <w:r w:rsidR="008728AF" w:rsidRPr="008728AF">
        <w:rPr>
          <w:rFonts w:ascii="Calibri" w:eastAsia="Calibri" w:hAnsi="Calibri"/>
          <w:i w:val="0"/>
          <w:iCs w:val="0"/>
        </w:rPr>
        <w:t>Loi Mermaz</w:t>
      </w:r>
      <w:r w:rsidRPr="00026567">
        <w:rPr>
          <w:rStyle w:val="Appelnotedebasdep"/>
        </w:rPr>
        <w:fldChar w:fldCharType="begin"/>
      </w:r>
      <w:r w:rsidRPr="00026567">
        <w:rPr>
          <w:rStyle w:val="Appelnotedebasdep"/>
        </w:rPr>
        <w:instrText xml:space="preserve"> NOTEREF _Ref188358098 \h </w:instrText>
      </w:r>
      <w:r>
        <w:rPr>
          <w:rStyle w:val="Appelnotedebasdep"/>
        </w:rPr>
        <w:instrText xml:space="preserve"> \* MERGEFORMAT </w:instrText>
      </w:r>
      <w:r w:rsidRPr="00026567">
        <w:rPr>
          <w:rStyle w:val="Appelnotedebasdep"/>
        </w:rPr>
      </w:r>
      <w:r w:rsidRPr="00026567">
        <w:rPr>
          <w:rStyle w:val="Appelnotedebasdep"/>
        </w:rPr>
        <w:fldChar w:fldCharType="separate"/>
      </w:r>
      <w:r w:rsidR="00AF28EF">
        <w:rPr>
          <w:rStyle w:val="Appelnotedebasdep"/>
        </w:rPr>
        <w:t>5</w:t>
      </w:r>
      <w:r w:rsidRPr="00026567">
        <w:rPr>
          <w:rStyle w:val="Appelnotedebasdep"/>
        </w:rPr>
        <w:fldChar w:fldCharType="end"/>
      </w:r>
      <w:r w:rsidR="008728AF">
        <w:rPr>
          <w:rFonts w:ascii="Calibri" w:eastAsia="Calibri" w:hAnsi="Calibri"/>
          <w:i w:val="0"/>
          <w:iCs w:val="0"/>
        </w:rPr>
        <w:t xml:space="preserve"> de quittance faisant prendre en charge, via le loyer, une part du coût des travaux par le locataire bénéficiant de l’économie de charge consécutive de ces travaux</w:t>
      </w:r>
      <w:r>
        <w:rPr>
          <w:rFonts w:ascii="Calibri" w:eastAsia="Calibri" w:hAnsi="Calibri"/>
          <w:i w:val="0"/>
          <w:iCs w:val="0"/>
        </w:rPr>
        <w:t>).</w:t>
      </w:r>
    </w:p>
    <w:sectPr w:rsidR="008728AF" w:rsidRPr="00AF419E" w:rsidSect="009C2F4A">
      <w:footerReference w:type="default" r:id="rId11"/>
      <w:footerReference w:type="first" r:id="rId12"/>
      <w:type w:val="continuous"/>
      <w:pgSz w:w="11906" w:h="16838" w:code="9"/>
      <w:pgMar w:top="1134" w:right="1134" w:bottom="102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3F66" w14:textId="77777777" w:rsidR="00435FC2" w:rsidRDefault="00435FC2" w:rsidP="00233635">
      <w:r>
        <w:separator/>
      </w:r>
    </w:p>
    <w:p w14:paraId="205CF3EA" w14:textId="77777777" w:rsidR="00435FC2" w:rsidRDefault="00435FC2" w:rsidP="00233635"/>
    <w:p w14:paraId="290612E7" w14:textId="77777777" w:rsidR="00435FC2" w:rsidRDefault="00435FC2"/>
  </w:endnote>
  <w:endnote w:type="continuationSeparator" w:id="0">
    <w:p w14:paraId="24CD1069" w14:textId="77777777" w:rsidR="00435FC2" w:rsidRDefault="00435FC2" w:rsidP="00233635">
      <w:r>
        <w:continuationSeparator/>
      </w:r>
    </w:p>
    <w:p w14:paraId="69FB5918" w14:textId="77777777" w:rsidR="00435FC2" w:rsidRDefault="00435FC2" w:rsidP="00233635"/>
    <w:p w14:paraId="6A95DC76" w14:textId="77777777" w:rsidR="00435FC2" w:rsidRDefault="0043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F48E" w14:textId="4729DEEC" w:rsidR="00432D2E" w:rsidRPr="008B1CC8" w:rsidRDefault="00432D2E" w:rsidP="00432D2E">
    <w:pPr>
      <w:tabs>
        <w:tab w:val="right" w:pos="9638"/>
      </w:tabs>
      <w:spacing w:before="0" w:line="240" w:lineRule="auto"/>
      <w:ind w:left="0"/>
      <w:jc w:val="left"/>
      <w:rPr>
        <w:rFonts w:ascii="Gill Sans MT" w:eastAsia="Calibri" w:hAnsi="Gill Sans MT"/>
        <w:b/>
        <w:bCs/>
        <w:i w:val="0"/>
        <w:iCs w:val="0"/>
        <w:color w:val="C83232"/>
        <w:sz w:val="20"/>
        <w:szCs w:val="20"/>
      </w:rPr>
    </w:pPr>
    <w:r w:rsidRPr="008B1CC8">
      <w:rPr>
        <w:rFonts w:ascii="Gill Sans MT" w:eastAsia="Calibri" w:hAnsi="Gill Sans MT"/>
        <w:b/>
        <w:bCs/>
        <w:i w:val="0"/>
        <w:iCs w:val="0"/>
        <w:color w:val="C83232"/>
        <w:sz w:val="20"/>
        <w:szCs w:val="20"/>
      </w:rPr>
      <w:t>INDECOSA-CGT</w:t>
    </w:r>
    <w:r>
      <w:rPr>
        <w:rFonts w:ascii="Gill Sans MT" w:eastAsia="Calibri" w:hAnsi="Gill Sans MT"/>
        <w:b/>
        <w:bCs/>
        <w:i w:val="0"/>
        <w:iCs w:val="0"/>
        <w:color w:val="C83232"/>
        <w:sz w:val="20"/>
        <w:szCs w:val="20"/>
      </w:rPr>
      <w:t xml:space="preserve"> © 202</w:t>
    </w:r>
    <w:r w:rsidR="00D12469">
      <w:rPr>
        <w:rFonts w:ascii="Gill Sans MT" w:eastAsia="Calibri" w:hAnsi="Gill Sans MT"/>
        <w:b/>
        <w:bCs/>
        <w:i w:val="0"/>
        <w:iCs w:val="0"/>
        <w:color w:val="C83232"/>
        <w:sz w:val="20"/>
        <w:szCs w:val="20"/>
      </w:rPr>
      <w:t>4</w:t>
    </w:r>
    <w:r>
      <w:rPr>
        <w:rFonts w:ascii="Gill Sans MT" w:eastAsia="Calibri" w:hAnsi="Gill Sans MT"/>
        <w:b/>
        <w:bCs/>
        <w:i w:val="0"/>
        <w:iCs w:val="0"/>
        <w:color w:val="C83232"/>
        <w:sz w:val="20"/>
        <w:szCs w:val="20"/>
      </w:rPr>
      <w:tab/>
    </w:r>
    <w:r w:rsidRPr="00432D2E">
      <w:rPr>
        <w:rFonts w:ascii="Gill Sans MT" w:eastAsia="Calibri" w:hAnsi="Gill Sans MT"/>
        <w:b/>
        <w:bCs/>
        <w:i w:val="0"/>
        <w:iCs w:val="0"/>
        <w:color w:val="C83232"/>
        <w:sz w:val="20"/>
        <w:szCs w:val="20"/>
      </w:rPr>
      <w:t xml:space="preserve">p. </w:t>
    </w:r>
    <w:r w:rsidR="00BF268B">
      <w:rPr>
        <w:rFonts w:ascii="Gill Sans MT" w:eastAsia="Calibri" w:hAnsi="Gill Sans MT"/>
        <w:b/>
        <w:bCs/>
        <w:i w:val="0"/>
        <w:iCs w:val="0"/>
        <w:color w:val="C83232"/>
        <w:sz w:val="20"/>
        <w:szCs w:val="20"/>
      </w:rPr>
      <w:fldChar w:fldCharType="begin"/>
    </w:r>
    <w:r w:rsidR="00BF268B">
      <w:rPr>
        <w:rFonts w:ascii="Gill Sans MT" w:eastAsia="Calibri" w:hAnsi="Gill Sans MT"/>
        <w:b/>
        <w:bCs/>
        <w:i w:val="0"/>
        <w:iCs w:val="0"/>
        <w:color w:val="C83232"/>
        <w:sz w:val="20"/>
        <w:szCs w:val="20"/>
      </w:rPr>
      <w:instrText xml:space="preserve"> PAGE   \* MERGEFORMAT </w:instrText>
    </w:r>
    <w:r w:rsidR="00BF268B">
      <w:rPr>
        <w:rFonts w:ascii="Gill Sans MT" w:eastAsia="Calibri" w:hAnsi="Gill Sans MT"/>
        <w:b/>
        <w:bCs/>
        <w:i w:val="0"/>
        <w:iCs w:val="0"/>
        <w:color w:val="C83232"/>
        <w:sz w:val="20"/>
        <w:szCs w:val="20"/>
      </w:rPr>
      <w:fldChar w:fldCharType="separate"/>
    </w:r>
    <w:r w:rsidR="00BF268B">
      <w:rPr>
        <w:rFonts w:ascii="Gill Sans MT" w:eastAsia="Calibri" w:hAnsi="Gill Sans MT"/>
        <w:b/>
        <w:bCs/>
        <w:i w:val="0"/>
        <w:iCs w:val="0"/>
        <w:noProof/>
        <w:color w:val="C83232"/>
        <w:sz w:val="20"/>
        <w:szCs w:val="20"/>
      </w:rPr>
      <w:t>3</w:t>
    </w:r>
    <w:r w:rsidR="00BF268B">
      <w:rPr>
        <w:rFonts w:ascii="Gill Sans MT" w:eastAsia="Calibri" w:hAnsi="Gill Sans MT"/>
        <w:b/>
        <w:bCs/>
        <w:i w:val="0"/>
        <w:iCs w:val="0"/>
        <w:color w:val="C83232"/>
        <w:sz w:val="20"/>
        <w:szCs w:val="20"/>
      </w:rPr>
      <w:fldChar w:fldCharType="end"/>
    </w:r>
    <w:r w:rsidRPr="00432D2E">
      <w:rPr>
        <w:rFonts w:ascii="Gill Sans MT" w:eastAsia="Calibri" w:hAnsi="Gill Sans MT"/>
        <w:b/>
        <w:bCs/>
        <w:i w:val="0"/>
        <w:iCs w:val="0"/>
        <w:color w:val="C83232"/>
        <w:sz w:val="20"/>
        <w:szCs w:val="20"/>
      </w:rPr>
      <w:t>/</w:t>
    </w:r>
    <w:r w:rsidR="00BF268B">
      <w:rPr>
        <w:rFonts w:ascii="Gill Sans MT" w:eastAsia="Calibri" w:hAnsi="Gill Sans MT"/>
        <w:b/>
        <w:bCs/>
        <w:i w:val="0"/>
        <w:iCs w:val="0"/>
        <w:color w:val="C83232"/>
        <w:sz w:val="20"/>
        <w:szCs w:val="20"/>
      </w:rPr>
      <w:fldChar w:fldCharType="begin"/>
    </w:r>
    <w:r w:rsidR="00BF268B">
      <w:rPr>
        <w:rFonts w:ascii="Gill Sans MT" w:eastAsia="Calibri" w:hAnsi="Gill Sans MT"/>
        <w:b/>
        <w:bCs/>
        <w:i w:val="0"/>
        <w:iCs w:val="0"/>
        <w:color w:val="C83232"/>
        <w:sz w:val="20"/>
        <w:szCs w:val="20"/>
      </w:rPr>
      <w:instrText xml:space="preserve"> NUMPAGES   \* MERGEFORMAT </w:instrText>
    </w:r>
    <w:r w:rsidR="00BF268B">
      <w:rPr>
        <w:rFonts w:ascii="Gill Sans MT" w:eastAsia="Calibri" w:hAnsi="Gill Sans MT"/>
        <w:b/>
        <w:bCs/>
        <w:i w:val="0"/>
        <w:iCs w:val="0"/>
        <w:color w:val="C83232"/>
        <w:sz w:val="20"/>
        <w:szCs w:val="20"/>
      </w:rPr>
      <w:fldChar w:fldCharType="separate"/>
    </w:r>
    <w:r w:rsidR="00BF268B">
      <w:rPr>
        <w:rFonts w:ascii="Gill Sans MT" w:eastAsia="Calibri" w:hAnsi="Gill Sans MT"/>
        <w:b/>
        <w:bCs/>
        <w:i w:val="0"/>
        <w:iCs w:val="0"/>
        <w:noProof/>
        <w:color w:val="C83232"/>
        <w:sz w:val="20"/>
        <w:szCs w:val="20"/>
      </w:rPr>
      <w:t>5</w:t>
    </w:r>
    <w:r w:rsidR="00BF268B">
      <w:rPr>
        <w:rFonts w:ascii="Gill Sans MT" w:eastAsia="Calibri" w:hAnsi="Gill Sans MT"/>
        <w:b/>
        <w:bCs/>
        <w:i w:val="0"/>
        <w:iCs w:val="0"/>
        <w:color w:val="C8323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5C60" w14:textId="77777777" w:rsidR="008B1CC8" w:rsidRPr="008B1CC8" w:rsidRDefault="008B1CC8" w:rsidP="008B1CC8">
    <w:pPr>
      <w:spacing w:before="0" w:line="240" w:lineRule="auto"/>
      <w:ind w:left="0"/>
      <w:jc w:val="center"/>
      <w:rPr>
        <w:rFonts w:ascii="Gill Sans MT" w:eastAsia="Calibri" w:hAnsi="Gill Sans MT"/>
        <w:b/>
        <w:bCs/>
        <w:i w:val="0"/>
        <w:iCs w:val="0"/>
        <w:color w:val="C83232"/>
        <w:sz w:val="20"/>
        <w:szCs w:val="20"/>
      </w:rPr>
    </w:pPr>
    <w:r w:rsidRPr="008B1CC8">
      <w:rPr>
        <w:rFonts w:ascii="Gill Sans MT" w:eastAsia="Calibri" w:hAnsi="Gill Sans MT"/>
        <w:b/>
        <w:bCs/>
        <w:i w:val="0"/>
        <w:iCs w:val="0"/>
        <w:color w:val="C83232"/>
        <w:sz w:val="20"/>
        <w:szCs w:val="20"/>
      </w:rPr>
      <w:t>INDECOSA-CGT</w:t>
    </w:r>
  </w:p>
  <w:p w14:paraId="252F91F0" w14:textId="77777777" w:rsidR="008B1CC8" w:rsidRPr="008B1CC8" w:rsidRDefault="008B1CC8" w:rsidP="008B1CC8">
    <w:pPr>
      <w:spacing w:before="0" w:line="240" w:lineRule="auto"/>
      <w:ind w:left="0"/>
      <w:jc w:val="center"/>
      <w:rPr>
        <w:rFonts w:ascii="Gill Sans MT" w:eastAsia="Calibri" w:hAnsi="Gill Sans MT"/>
        <w:i w:val="0"/>
        <w:iCs w:val="0"/>
        <w:color w:val="C83232"/>
        <w:sz w:val="18"/>
        <w:szCs w:val="18"/>
      </w:rPr>
    </w:pPr>
    <w:r w:rsidRPr="008B1CC8">
      <w:rPr>
        <w:rFonts w:ascii="Gill Sans MT" w:eastAsia="Calibri" w:hAnsi="Gill Sans MT"/>
        <w:i w:val="0"/>
        <w:iCs w:val="0"/>
        <w:color w:val="C83232"/>
        <w:sz w:val="18"/>
        <w:szCs w:val="18"/>
      </w:rPr>
      <w:t>ASSOCIATION POUR L’</w:t>
    </w:r>
    <w:r w:rsidRPr="008B1CC8">
      <w:rPr>
        <w:rFonts w:ascii="Gill Sans MT" w:eastAsia="Calibri" w:hAnsi="Gill Sans MT"/>
        <w:b/>
        <w:bCs/>
        <w:i w:val="0"/>
        <w:iCs w:val="0"/>
        <w:color w:val="C83232"/>
        <w:sz w:val="20"/>
        <w:szCs w:val="20"/>
      </w:rPr>
      <w:t>IN</w:t>
    </w:r>
    <w:r w:rsidRPr="008B1CC8">
      <w:rPr>
        <w:rFonts w:ascii="Gill Sans MT" w:eastAsia="Calibri" w:hAnsi="Gill Sans MT"/>
        <w:i w:val="0"/>
        <w:iCs w:val="0"/>
        <w:color w:val="C83232"/>
        <w:sz w:val="18"/>
        <w:szCs w:val="18"/>
      </w:rPr>
      <w:t xml:space="preserve">FORMATION ET LA </w:t>
    </w:r>
    <w:r w:rsidRPr="008B1CC8">
      <w:rPr>
        <w:rFonts w:ascii="Gill Sans MT" w:eastAsia="Calibri" w:hAnsi="Gill Sans MT"/>
        <w:b/>
        <w:bCs/>
        <w:i w:val="0"/>
        <w:iCs w:val="0"/>
        <w:color w:val="C83232"/>
        <w:sz w:val="20"/>
        <w:szCs w:val="20"/>
      </w:rPr>
      <w:t>DE</w:t>
    </w:r>
    <w:r w:rsidRPr="008B1CC8">
      <w:rPr>
        <w:rFonts w:ascii="Gill Sans MT" w:eastAsia="Calibri" w:hAnsi="Gill Sans MT"/>
        <w:i w:val="0"/>
        <w:iCs w:val="0"/>
        <w:color w:val="C83232"/>
        <w:sz w:val="18"/>
        <w:szCs w:val="18"/>
      </w:rPr>
      <w:t xml:space="preserve">FENSE DES </w:t>
    </w:r>
    <w:r w:rsidRPr="008B1CC8">
      <w:rPr>
        <w:rFonts w:ascii="Gill Sans MT" w:eastAsia="Calibri" w:hAnsi="Gill Sans MT"/>
        <w:b/>
        <w:bCs/>
        <w:i w:val="0"/>
        <w:iCs w:val="0"/>
        <w:color w:val="C83232"/>
        <w:sz w:val="20"/>
        <w:szCs w:val="20"/>
      </w:rPr>
      <w:t>CO</w:t>
    </w:r>
    <w:r w:rsidRPr="008B1CC8">
      <w:rPr>
        <w:rFonts w:ascii="Gill Sans MT" w:eastAsia="Calibri" w:hAnsi="Gill Sans MT"/>
        <w:i w:val="0"/>
        <w:iCs w:val="0"/>
        <w:color w:val="C83232"/>
        <w:sz w:val="18"/>
        <w:szCs w:val="18"/>
      </w:rPr>
      <w:t xml:space="preserve">NSOMMATEURS </w:t>
    </w:r>
    <w:r w:rsidRPr="008B1CC8">
      <w:rPr>
        <w:rFonts w:ascii="Gill Sans MT" w:eastAsia="Calibri" w:hAnsi="Gill Sans MT"/>
        <w:b/>
        <w:bCs/>
        <w:i w:val="0"/>
        <w:iCs w:val="0"/>
        <w:color w:val="C83232"/>
        <w:sz w:val="20"/>
        <w:szCs w:val="20"/>
      </w:rPr>
      <w:t>SA</w:t>
    </w:r>
    <w:r w:rsidRPr="008B1CC8">
      <w:rPr>
        <w:rFonts w:ascii="Gill Sans MT" w:eastAsia="Calibri" w:hAnsi="Gill Sans MT"/>
        <w:i w:val="0"/>
        <w:iCs w:val="0"/>
        <w:color w:val="C83232"/>
        <w:sz w:val="18"/>
        <w:szCs w:val="18"/>
      </w:rPr>
      <w:t>LARIES</w:t>
    </w:r>
  </w:p>
  <w:p w14:paraId="2CFE6D78" w14:textId="77777777" w:rsidR="008B1CC8" w:rsidRPr="008B1CC8" w:rsidRDefault="008B1CC8" w:rsidP="008B1CC8">
    <w:pPr>
      <w:spacing w:before="0" w:line="240" w:lineRule="auto"/>
      <w:ind w:left="0"/>
      <w:jc w:val="center"/>
      <w:rPr>
        <w:rFonts w:ascii="Gill Sans MT" w:eastAsia="Calibri" w:hAnsi="Gill Sans MT"/>
        <w:i w:val="0"/>
        <w:iCs w:val="0"/>
        <w:color w:val="C83232"/>
        <w:sz w:val="18"/>
        <w:szCs w:val="18"/>
      </w:rPr>
    </w:pPr>
    <w:r w:rsidRPr="008B1CC8">
      <w:rPr>
        <w:rFonts w:ascii="Gill Sans MT" w:eastAsia="Calibri" w:hAnsi="Gill Sans MT"/>
        <w:i w:val="0"/>
        <w:iCs w:val="0"/>
        <w:color w:val="C83232"/>
        <w:sz w:val="18"/>
        <w:szCs w:val="18"/>
      </w:rPr>
      <w:t>263, rue de Paris Case 1-1 - 93516 MONTREUIL CEDEX</w:t>
    </w:r>
  </w:p>
  <w:p w14:paraId="37BA60CC" w14:textId="64544728" w:rsidR="008B1CC8" w:rsidRPr="008B1CC8" w:rsidRDefault="008B1CC8" w:rsidP="008B1CC8">
    <w:pPr>
      <w:spacing w:before="0" w:line="240" w:lineRule="auto"/>
      <w:ind w:left="0"/>
      <w:jc w:val="center"/>
      <w:rPr>
        <w:rFonts w:ascii="Gill Sans MT" w:eastAsia="Calibri" w:hAnsi="Gill Sans MT"/>
        <w:i w:val="0"/>
        <w:iCs w:val="0"/>
        <w:color w:val="C83232"/>
        <w:sz w:val="18"/>
        <w:szCs w:val="18"/>
      </w:rPr>
    </w:pPr>
    <w:r w:rsidRPr="008B1CC8">
      <w:rPr>
        <w:rFonts w:ascii="Gill Sans MT" w:eastAsia="Calibri" w:hAnsi="Gill Sans MT"/>
        <w:i w:val="0"/>
        <w:iCs w:val="0"/>
        <w:color w:val="C83232"/>
        <w:sz w:val="18"/>
        <w:szCs w:val="18"/>
      </w:rPr>
      <w:t>Tél 01.55.82.84.05 - Site</w:t>
    </w:r>
    <w:r w:rsidR="00063248">
      <w:rPr>
        <w:rFonts w:ascii="Gill Sans MT" w:eastAsia="Calibri" w:hAnsi="Gill Sans MT"/>
        <w:i w:val="0"/>
        <w:iCs w:val="0"/>
        <w:color w:val="C83232"/>
        <w:sz w:val="18"/>
        <w:szCs w:val="18"/>
      </w:rPr>
      <w:t> :</w:t>
    </w:r>
    <w:r w:rsidRPr="008B1CC8">
      <w:rPr>
        <w:rFonts w:ascii="Gill Sans MT" w:eastAsia="Calibri" w:hAnsi="Gill Sans MT"/>
        <w:i w:val="0"/>
        <w:iCs w:val="0"/>
        <w:color w:val="C83232"/>
        <w:sz w:val="18"/>
        <w:szCs w:val="18"/>
      </w:rPr>
      <w:t xml:space="preserve"> </w:t>
    </w:r>
    <w:hyperlink r:id="rId1" w:history="1">
      <w:r w:rsidRPr="008B1CC8">
        <w:rPr>
          <w:rFonts w:ascii="Gill Sans MT" w:eastAsia="Calibri" w:hAnsi="Gill Sans MT"/>
          <w:i w:val="0"/>
          <w:iCs w:val="0"/>
          <w:color w:val="0000FF"/>
          <w:sz w:val="18"/>
          <w:szCs w:val="18"/>
          <w:u w:val="single"/>
        </w:rPr>
        <w:t>www.indecosa.cgt.fr</w:t>
      </w:r>
    </w:hyperlink>
    <w:r w:rsidRPr="008B1CC8">
      <w:rPr>
        <w:rFonts w:ascii="Gill Sans MT" w:eastAsia="Calibri" w:hAnsi="Gill Sans MT"/>
        <w:i w:val="0"/>
        <w:iCs w:val="0"/>
        <w:color w:val="C83232"/>
        <w:sz w:val="18"/>
        <w:szCs w:val="18"/>
      </w:rPr>
      <w:t xml:space="preserve"> - E-mail</w:t>
    </w:r>
    <w:r w:rsidR="00063248">
      <w:rPr>
        <w:rFonts w:ascii="Gill Sans MT" w:eastAsia="Calibri" w:hAnsi="Gill Sans MT"/>
        <w:i w:val="0"/>
        <w:iCs w:val="0"/>
        <w:color w:val="C83232"/>
        <w:sz w:val="18"/>
        <w:szCs w:val="18"/>
      </w:rPr>
      <w:t> :</w:t>
    </w:r>
    <w:r w:rsidRPr="008B1CC8">
      <w:rPr>
        <w:rFonts w:ascii="Gill Sans MT" w:eastAsia="Calibri" w:hAnsi="Gill Sans MT"/>
        <w:i w:val="0"/>
        <w:iCs w:val="0"/>
        <w:color w:val="C83232"/>
        <w:sz w:val="18"/>
        <w:szCs w:val="18"/>
      </w:rPr>
      <w:t xml:space="preserve"> indecosa@cgt.fr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78FB" w14:textId="77777777" w:rsidR="00435FC2" w:rsidRPr="00543274" w:rsidRDefault="00435FC2" w:rsidP="00543274">
      <w:pPr>
        <w:spacing w:before="40"/>
        <w:rPr>
          <w:sz w:val="16"/>
          <w:szCs w:val="16"/>
        </w:rPr>
      </w:pPr>
      <w:r>
        <w:separator/>
      </w:r>
    </w:p>
  </w:footnote>
  <w:footnote w:type="continuationSeparator" w:id="0">
    <w:p w14:paraId="2D9EDA0A" w14:textId="77777777" w:rsidR="00435FC2" w:rsidRDefault="00435FC2" w:rsidP="00233635">
      <w:r>
        <w:continuationSeparator/>
      </w:r>
    </w:p>
    <w:p w14:paraId="421F8C5F" w14:textId="77777777" w:rsidR="00435FC2" w:rsidRDefault="00435FC2" w:rsidP="00233635"/>
    <w:p w14:paraId="4F58F114" w14:textId="77777777" w:rsidR="00435FC2" w:rsidRDefault="00435FC2"/>
  </w:footnote>
  <w:footnote w:id="1">
    <w:p w14:paraId="4D3C63C2" w14:textId="2C1A3351" w:rsidR="00421D36" w:rsidRDefault="00421D36">
      <w:pPr>
        <w:pStyle w:val="Notedebasdepage"/>
      </w:pPr>
      <w:r>
        <w:rPr>
          <w:rStyle w:val="Appelnotedebasdep"/>
        </w:rPr>
        <w:footnoteRef/>
      </w:r>
      <w:hyperlink r:id="rId1" w:history="1">
        <w:r w:rsidRPr="004337D0">
          <w:rPr>
            <w:rStyle w:val="Lienhypertexte"/>
          </w:rPr>
          <w:t>Loi n° 86-1290</w:t>
        </w:r>
      </w:hyperlink>
      <w:r w:rsidRPr="00421D36">
        <w:t xml:space="preserve"> du 23 décembre 1986 tendant à favoriser l'investissement locatif, l'accession à la propriété de logements sociaux et le développement de l'offre foncière</w:t>
      </w:r>
      <w:r w:rsidR="00497CDF">
        <w:t xml:space="preserve"> - </w:t>
      </w:r>
      <w:hyperlink r:id="rId2" w:history="1">
        <w:r w:rsidR="00497CDF" w:rsidRPr="00497CDF">
          <w:rPr>
            <w:rStyle w:val="Lienhypertexte"/>
          </w:rPr>
          <w:t>art. 44 quater</w:t>
        </w:r>
      </w:hyperlink>
    </w:p>
  </w:footnote>
  <w:footnote w:id="2">
    <w:p w14:paraId="13E85447" w14:textId="42B0CCF7" w:rsidR="004337D0" w:rsidRDefault="004337D0">
      <w:pPr>
        <w:pStyle w:val="Notedebasdepage"/>
      </w:pPr>
      <w:r>
        <w:rPr>
          <w:rStyle w:val="Appelnotedebasdep"/>
        </w:rPr>
        <w:footnoteRef/>
      </w:r>
      <w:r>
        <w:t xml:space="preserve"> </w:t>
      </w:r>
      <w:hyperlink r:id="rId3" w:history="1">
        <w:r w:rsidRPr="004337D0">
          <w:rPr>
            <w:rStyle w:val="Lienhypertexte"/>
          </w:rPr>
          <w:t>Article L. 442-1</w:t>
        </w:r>
      </w:hyperlink>
      <w:r w:rsidRPr="004337D0">
        <w:t xml:space="preserve"> du </w:t>
      </w:r>
      <w:r>
        <w:rPr>
          <w:rFonts w:ascii="Calibri" w:eastAsia="Calibri" w:hAnsi="Calibri"/>
          <w:i w:val="0"/>
          <w:iCs w:val="0"/>
        </w:rPr>
        <w:t>Code de la construction et de l’habitation</w:t>
      </w:r>
    </w:p>
  </w:footnote>
  <w:footnote w:id="3">
    <w:p w14:paraId="38986988" w14:textId="77777777" w:rsidR="00475205" w:rsidRDefault="00475205" w:rsidP="00475205">
      <w:pPr>
        <w:pStyle w:val="Notedebasdepage"/>
      </w:pPr>
      <w:r>
        <w:rPr>
          <w:rStyle w:val="Appelnotedebasdep"/>
        </w:rPr>
        <w:footnoteRef/>
      </w:r>
      <w:r>
        <w:t xml:space="preserve"> </w:t>
      </w:r>
      <w:hyperlink r:id="rId4" w:history="1">
        <w:r w:rsidRPr="004337D0">
          <w:rPr>
            <w:rStyle w:val="Lienhypertexte"/>
          </w:rPr>
          <w:t>Loi n° 86-1290</w:t>
        </w:r>
      </w:hyperlink>
      <w:r w:rsidRPr="00421D36">
        <w:t xml:space="preserve"> du 23 décembre 1986 tendant à favoriser l'investissement locatif, l'accession à la propriété de logements sociaux et le développement de l'offre foncière</w:t>
      </w:r>
      <w:r>
        <w:t xml:space="preserve"> - </w:t>
      </w:r>
      <w:hyperlink r:id="rId5" w:history="1">
        <w:r w:rsidRPr="00497CDF">
          <w:rPr>
            <w:rStyle w:val="Lienhypertexte"/>
          </w:rPr>
          <w:t>art. 42</w:t>
        </w:r>
      </w:hyperlink>
    </w:p>
  </w:footnote>
  <w:footnote w:id="4">
    <w:p w14:paraId="69B40CF3" w14:textId="1D41546E" w:rsidR="00747B96" w:rsidRDefault="00747B96">
      <w:pPr>
        <w:pStyle w:val="Notedebasdepage"/>
      </w:pPr>
      <w:r>
        <w:rPr>
          <w:rStyle w:val="Appelnotedebasdep"/>
        </w:rPr>
        <w:footnoteRef/>
      </w:r>
      <w:r>
        <w:t xml:space="preserve"> </w:t>
      </w:r>
      <w:hyperlink r:id="rId6" w:history="1">
        <w:r w:rsidRPr="00747B96">
          <w:rPr>
            <w:rStyle w:val="Lienhypertexte"/>
          </w:rPr>
          <w:t>L</w:t>
        </w:r>
        <w:r>
          <w:rPr>
            <w:rStyle w:val="Lienhypertexte"/>
          </w:rPr>
          <w:t>oi</w:t>
        </w:r>
        <w:r w:rsidRPr="00747B96">
          <w:rPr>
            <w:rStyle w:val="Lienhypertexte"/>
          </w:rPr>
          <w:t xml:space="preserve"> n° 2009-323</w:t>
        </w:r>
      </w:hyperlink>
      <w:r w:rsidRPr="00747B96">
        <w:t xml:space="preserve"> du 25 mars 2009 de mobilisation pour le logement et la lutte contre l'exclusion</w:t>
      </w:r>
    </w:p>
  </w:footnote>
  <w:footnote w:id="5">
    <w:p w14:paraId="6F59408D" w14:textId="53C1956B" w:rsidR="00747B96" w:rsidRDefault="00747B96">
      <w:pPr>
        <w:pStyle w:val="Notedebasdepage"/>
      </w:pPr>
      <w:r>
        <w:rPr>
          <w:rStyle w:val="Appelnotedebasdep"/>
        </w:rPr>
        <w:footnoteRef/>
      </w:r>
      <w:r>
        <w:t xml:space="preserve"> </w:t>
      </w:r>
      <w:hyperlink r:id="rId7" w:history="1">
        <w:r w:rsidRPr="00747B96">
          <w:rPr>
            <w:rStyle w:val="Lienhypertexte"/>
          </w:rPr>
          <w:t xml:space="preserve">Loi n° 89-462 </w:t>
        </w:r>
      </w:hyperlink>
      <w:r w:rsidRPr="00747B96">
        <w:t>du 6 juillet 1989 tendant à améliorer les rapports locatifs et portant modification de la loi n° 86-1290 du 23 décembre 1986</w:t>
      </w:r>
    </w:p>
  </w:footnote>
  <w:footnote w:id="6">
    <w:p w14:paraId="6E1918DE" w14:textId="4BD803DE" w:rsidR="00843C45" w:rsidRDefault="00843C45">
      <w:pPr>
        <w:pStyle w:val="Notedebasdepage"/>
      </w:pPr>
      <w:r>
        <w:rPr>
          <w:rStyle w:val="Appelnotedebasdep"/>
        </w:rPr>
        <w:footnoteRef/>
      </w:r>
      <w:r>
        <w:t xml:space="preserve"> Il s’agit des « </w:t>
      </w:r>
      <w:r w:rsidRPr="00843C45">
        <w:t>surfaces réservées à l'usage exclusif de l'occupant du logement et dont la hauteur sous plafond est au moins égale à 1,80 mètre. Elles comprennent les caves, les sous-sols, les remises, les ateliers, les séchoirs et celliers extérieurs au logement, les resserres, les combles et greniers aménageables, les balcons, les loggias et les vérandas et dans la limite de 9 mètres carrés les parties de terrasses accessibles en étage ou aménagées sur ouvrage enterré ou à moitié enterré</w:t>
      </w:r>
      <w:r>
        <w:t> »</w:t>
      </w:r>
      <w:r w:rsidRPr="00843C45">
        <w:t>.</w:t>
      </w:r>
    </w:p>
  </w:footnote>
  <w:footnote w:id="7">
    <w:p w14:paraId="1C8E3117" w14:textId="33D04D2F" w:rsidR="00843C45" w:rsidRDefault="00843C45">
      <w:pPr>
        <w:pStyle w:val="Notedebasdepage"/>
      </w:pPr>
      <w:r>
        <w:rPr>
          <w:rStyle w:val="Appelnotedebasdep"/>
        </w:rPr>
        <w:footnoteRef/>
      </w:r>
      <w:hyperlink r:id="rId8" w:history="1">
        <w:r w:rsidRPr="00843C45">
          <w:rPr>
            <w:rStyle w:val="Lienhypertexte"/>
          </w:rPr>
          <w:t>Décret n° 48-1766</w:t>
        </w:r>
      </w:hyperlink>
      <w:r w:rsidRPr="00843C45">
        <w:t xml:space="preserve"> du 22 novembre 1948 fixant les conditions de détermination de la surface corrigée des locaux d'habitation ou à usage professionnel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BDD"/>
    <w:multiLevelType w:val="hybridMultilevel"/>
    <w:tmpl w:val="D47E9382"/>
    <w:styleLink w:val="Style11"/>
    <w:lvl w:ilvl="0" w:tplc="3F7E54FC">
      <w:start w:val="1"/>
      <w:numFmt w:val="bullet"/>
      <w:lvlText w:val=""/>
      <w:lvlJc w:val="right"/>
      <w:pPr>
        <w:ind w:left="1287" w:hanging="360"/>
      </w:pPr>
      <w:rPr>
        <w:rFonts w:ascii="Symbol" w:hAnsi="Symbol" w:hint="default"/>
        <w:b/>
        <w:i w:val="0"/>
        <w:color w:val="3232C8"/>
        <w:sz w:val="28"/>
        <w:szCs w:val="28"/>
        <w:u w:color="FF6600"/>
      </w:rPr>
    </w:lvl>
    <w:lvl w:ilvl="1" w:tplc="4740B658">
      <w:start w:val="1"/>
      <w:numFmt w:val="bullet"/>
      <w:pStyle w:val="Titre2"/>
      <w:lvlText w:val=""/>
      <w:lvlJc w:val="right"/>
      <w:pPr>
        <w:ind w:left="2007" w:hanging="360"/>
      </w:pPr>
      <w:rPr>
        <w:rFonts w:ascii="Wingdings" w:hAnsi="Wingdings" w:hint="default"/>
        <w:b/>
        <w:i w:val="0"/>
        <w:color w:val="3232C8"/>
        <w:sz w:val="20"/>
        <w:u w:color="FF6600"/>
      </w:rPr>
    </w:lvl>
    <w:lvl w:ilvl="2" w:tplc="1B748892">
      <w:start w:val="1"/>
      <w:numFmt w:val="bullet"/>
      <w:pStyle w:val="Titre3"/>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36415ED"/>
    <w:multiLevelType w:val="multilevel"/>
    <w:tmpl w:val="EA74E1F6"/>
    <w:styleLink w:val="Style1"/>
    <w:lvl w:ilvl="0">
      <w:start w:val="1"/>
      <w:numFmt w:val="bullet"/>
      <w:pStyle w:val="Paragraphedeliste"/>
      <w:lvlText w:val=""/>
      <w:lvlJc w:val="left"/>
      <w:pPr>
        <w:ind w:left="720" w:hanging="360"/>
      </w:pPr>
      <w:rPr>
        <w:rFonts w:ascii="Wingdings" w:hAnsi="Wingdings" w:hint="default"/>
        <w:b/>
        <w:i w:val="0"/>
        <w:color w:val="333333"/>
        <w:sz w:val="20"/>
        <w:szCs w:val="20"/>
        <w:u w:color="FF6600"/>
      </w:rPr>
    </w:lvl>
    <w:lvl w:ilvl="1">
      <w:numFmt w:val="bullet"/>
      <w:lvlText w:val="-"/>
      <w:lvlJc w:val="left"/>
      <w:pPr>
        <w:ind w:left="1440" w:hanging="360"/>
      </w:pPr>
      <w:rPr>
        <w:rFonts w:ascii="Trebuchet MS" w:eastAsia="Arial Unicode MS" w:hAnsi="Trebuchet MS" w:cs="Tahoma" w:hint="default"/>
        <w:color w:val="EE7F0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3FE29CB"/>
    <w:multiLevelType w:val="multilevel"/>
    <w:tmpl w:val="BEB6EB0A"/>
    <w:lvl w:ilvl="0">
      <w:start w:val="1"/>
      <w:numFmt w:val="bullet"/>
      <w:lvlText w:val=""/>
      <w:lvlJc w:val="left"/>
      <w:pPr>
        <w:ind w:left="720" w:hanging="360"/>
      </w:pPr>
      <w:rPr>
        <w:rFonts w:ascii="Wingdings" w:hAnsi="Wingdings" w:hint="default"/>
        <w:b/>
        <w:i w:val="0"/>
        <w:color w:val="333333"/>
        <w:sz w:val="20"/>
        <w:szCs w:val="20"/>
        <w:u w:color="FF6600"/>
      </w:rPr>
    </w:lvl>
    <w:lvl w:ilvl="1">
      <w:numFmt w:val="bullet"/>
      <w:lvlText w:val="-"/>
      <w:lvlJc w:val="left"/>
      <w:pPr>
        <w:ind w:left="1440" w:hanging="360"/>
      </w:pPr>
      <w:rPr>
        <w:rFonts w:ascii="Trebuchet MS" w:eastAsia="Arial Unicode MS" w:hAnsi="Trebuchet MS" w:cs="Tahoma" w:hint="default"/>
        <w:color w:val="EE7F00"/>
      </w:rPr>
    </w:lvl>
    <w:lvl w:ilvl="2">
      <w:start w:val="1"/>
      <w:numFmt w:val="bullet"/>
      <w:pStyle w:val="TM4"/>
      <w:lvlText w:val="-"/>
      <w:lvlJc w:val="left"/>
      <w:pPr>
        <w:ind w:left="2160" w:hanging="360"/>
      </w:pPr>
      <w:rPr>
        <w:rFonts w:ascii="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FD72502"/>
    <w:multiLevelType w:val="hybridMultilevel"/>
    <w:tmpl w:val="032860D4"/>
    <w:lvl w:ilvl="0" w:tplc="1A0450B6">
      <w:start w:val="1"/>
      <w:numFmt w:val="bullet"/>
      <w:lvlText w:val=""/>
      <w:lvlJc w:val="left"/>
      <w:pPr>
        <w:ind w:left="1854" w:hanging="360"/>
      </w:pPr>
      <w:rPr>
        <w:rFonts w:ascii="Symbol" w:hAnsi="Symbol" w:hint="default"/>
        <w:color w:val="C83232"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5E2572C4"/>
    <w:multiLevelType w:val="multilevel"/>
    <w:tmpl w:val="EA74E1F6"/>
    <w:numStyleLink w:val="Style1"/>
  </w:abstractNum>
  <w:abstractNum w:abstractNumId="5" w15:restartNumberingAfterBreak="0">
    <w:nsid w:val="62CD1033"/>
    <w:multiLevelType w:val="hybridMultilevel"/>
    <w:tmpl w:val="51B4D904"/>
    <w:lvl w:ilvl="0" w:tplc="E668B786">
      <w:start w:val="1"/>
      <w:numFmt w:val="bullet"/>
      <w:pStyle w:val="Titre1"/>
      <w:lvlText w:val=""/>
      <w:lvlJc w:val="left"/>
      <w:pPr>
        <w:ind w:left="720" w:hanging="360"/>
      </w:pPr>
      <w:rPr>
        <w:rFonts w:ascii="Wingdings" w:hAnsi="Wingdings" w:hint="default"/>
        <w:i w:val="0"/>
        <w:color w:val="C83232"/>
        <w:sz w:val="28"/>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CA766F5"/>
    <w:multiLevelType w:val="hybridMultilevel"/>
    <w:tmpl w:val="E4CE560E"/>
    <w:lvl w:ilvl="0" w:tplc="040C0003">
      <w:start w:val="1"/>
      <w:numFmt w:val="bullet"/>
      <w:lvlText w:val="o"/>
      <w:lvlJc w:val="left"/>
      <w:pPr>
        <w:ind w:left="720" w:hanging="360"/>
      </w:pPr>
      <w:rPr>
        <w:rFonts w:ascii="Courier New" w:hAnsi="Courier New" w:hint="default"/>
      </w:rPr>
    </w:lvl>
    <w:lvl w:ilvl="1" w:tplc="C6E268E4">
      <w:start w:val="1"/>
      <w:numFmt w:val="bullet"/>
      <w:pStyle w:val="Liste2"/>
      <w:lvlText w:val="–"/>
      <w:lvlJc w:val="left"/>
      <w:pPr>
        <w:ind w:left="1440" w:hanging="360"/>
      </w:pPr>
      <w:rPr>
        <w:rFonts w:ascii="Trebuchet MS" w:hAnsi="Trebuchet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lvlOverride w:ilvl="0">
      <w:lvl w:ilvl="0">
        <w:start w:val="1"/>
        <w:numFmt w:val="bullet"/>
        <w:pStyle w:val="Paragraphedeliste"/>
        <w:lvlText w:val=""/>
        <w:lvlJc w:val="left"/>
        <w:pPr>
          <w:ind w:left="720" w:hanging="360"/>
        </w:pPr>
        <w:rPr>
          <w:rFonts w:ascii="Wingdings" w:hAnsi="Wingdings" w:hint="default"/>
          <w:b/>
          <w:i w:val="0"/>
          <w:color w:val="333333"/>
          <w:sz w:val="20"/>
          <w:szCs w:val="20"/>
          <w:u w:color="FF6600"/>
        </w:rPr>
      </w:lvl>
    </w:lvlOverride>
    <w:lvlOverride w:ilvl="1">
      <w:lvl w:ilvl="1">
        <w:numFmt w:val="bullet"/>
        <w:lvlText w:val="-"/>
        <w:lvlJc w:val="left"/>
        <w:pPr>
          <w:ind w:left="1440" w:hanging="360"/>
        </w:pPr>
        <w:rPr>
          <w:rFonts w:ascii="Trebuchet MS" w:eastAsia="Arial Unicode MS" w:hAnsi="Trebuchet MS" w:cs="Tahoma" w:hint="default"/>
          <w:color w:val="333333"/>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hint="default"/>
        </w:rPr>
      </w:lvl>
    </w:lvlOverride>
    <w:lvlOverride w:ilvl="8">
      <w:lvl w:ilvl="8">
        <w:start w:val="1"/>
        <w:numFmt w:val="bullet"/>
        <w:lvlText w:val=""/>
        <w:lvlJc w:val="left"/>
        <w:pPr>
          <w:ind w:left="6480" w:hanging="360"/>
        </w:pPr>
        <w:rPr>
          <w:rFonts w:ascii="Wingdings" w:hAnsi="Wingdings" w:hint="default"/>
        </w:rPr>
      </w:lvl>
    </w:lvlOverride>
  </w:num>
  <w:num w:numId="5">
    <w:abstractNumId w:val="6"/>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EF"/>
    <w:rsid w:val="00006D97"/>
    <w:rsid w:val="0001331B"/>
    <w:rsid w:val="00021FC2"/>
    <w:rsid w:val="00026567"/>
    <w:rsid w:val="000305B7"/>
    <w:rsid w:val="00036651"/>
    <w:rsid w:val="00037B98"/>
    <w:rsid w:val="000423CD"/>
    <w:rsid w:val="000437A0"/>
    <w:rsid w:val="000447A8"/>
    <w:rsid w:val="000536D6"/>
    <w:rsid w:val="00053F44"/>
    <w:rsid w:val="00056B85"/>
    <w:rsid w:val="00060FEF"/>
    <w:rsid w:val="00063248"/>
    <w:rsid w:val="00066A01"/>
    <w:rsid w:val="000757E6"/>
    <w:rsid w:val="00076AD0"/>
    <w:rsid w:val="00095A8A"/>
    <w:rsid w:val="00097250"/>
    <w:rsid w:val="000B538B"/>
    <w:rsid w:val="000B72EF"/>
    <w:rsid w:val="000C7524"/>
    <w:rsid w:val="000D25E4"/>
    <w:rsid w:val="000D3C9D"/>
    <w:rsid w:val="000E6C46"/>
    <w:rsid w:val="000F7A1F"/>
    <w:rsid w:val="00110250"/>
    <w:rsid w:val="00134A9E"/>
    <w:rsid w:val="00143255"/>
    <w:rsid w:val="00154AC2"/>
    <w:rsid w:val="00161282"/>
    <w:rsid w:val="001710A6"/>
    <w:rsid w:val="00171730"/>
    <w:rsid w:val="00174007"/>
    <w:rsid w:val="001974B3"/>
    <w:rsid w:val="0019792B"/>
    <w:rsid w:val="001A343A"/>
    <w:rsid w:val="001A3A76"/>
    <w:rsid w:val="001B125F"/>
    <w:rsid w:val="001C12C8"/>
    <w:rsid w:val="001C3C75"/>
    <w:rsid w:val="001C504D"/>
    <w:rsid w:val="001D408B"/>
    <w:rsid w:val="001D6B51"/>
    <w:rsid w:val="001E0040"/>
    <w:rsid w:val="001E42B1"/>
    <w:rsid w:val="001E6339"/>
    <w:rsid w:val="001F0B69"/>
    <w:rsid w:val="001F7739"/>
    <w:rsid w:val="00211035"/>
    <w:rsid w:val="00214F4D"/>
    <w:rsid w:val="00221523"/>
    <w:rsid w:val="00233635"/>
    <w:rsid w:val="00236850"/>
    <w:rsid w:val="00241CF5"/>
    <w:rsid w:val="002420D1"/>
    <w:rsid w:val="00242EDB"/>
    <w:rsid w:val="002434C9"/>
    <w:rsid w:val="00243B70"/>
    <w:rsid w:val="0024418F"/>
    <w:rsid w:val="00244E7D"/>
    <w:rsid w:val="0024586E"/>
    <w:rsid w:val="00252250"/>
    <w:rsid w:val="00255A66"/>
    <w:rsid w:val="00256530"/>
    <w:rsid w:val="0026100B"/>
    <w:rsid w:val="00265849"/>
    <w:rsid w:val="00270535"/>
    <w:rsid w:val="002730F3"/>
    <w:rsid w:val="002749E8"/>
    <w:rsid w:val="002829B3"/>
    <w:rsid w:val="0029056E"/>
    <w:rsid w:val="002A3F44"/>
    <w:rsid w:val="002A6518"/>
    <w:rsid w:val="002B6655"/>
    <w:rsid w:val="002B66AF"/>
    <w:rsid w:val="002C336D"/>
    <w:rsid w:val="002C6E78"/>
    <w:rsid w:val="002D2194"/>
    <w:rsid w:val="002D3F45"/>
    <w:rsid w:val="002E03EE"/>
    <w:rsid w:val="002E3233"/>
    <w:rsid w:val="002E4296"/>
    <w:rsid w:val="002E4FE8"/>
    <w:rsid w:val="002F14B3"/>
    <w:rsid w:val="002F5740"/>
    <w:rsid w:val="002F5942"/>
    <w:rsid w:val="00300B4E"/>
    <w:rsid w:val="00301FDF"/>
    <w:rsid w:val="00303C32"/>
    <w:rsid w:val="00317A2C"/>
    <w:rsid w:val="0032692B"/>
    <w:rsid w:val="0033047D"/>
    <w:rsid w:val="00331299"/>
    <w:rsid w:val="003332DD"/>
    <w:rsid w:val="00333AAB"/>
    <w:rsid w:val="00335EB7"/>
    <w:rsid w:val="003373B7"/>
    <w:rsid w:val="00342D5A"/>
    <w:rsid w:val="003444C5"/>
    <w:rsid w:val="0035141A"/>
    <w:rsid w:val="003522D6"/>
    <w:rsid w:val="00352EE2"/>
    <w:rsid w:val="003548AA"/>
    <w:rsid w:val="00354A3E"/>
    <w:rsid w:val="00357D87"/>
    <w:rsid w:val="0037011C"/>
    <w:rsid w:val="00383AA8"/>
    <w:rsid w:val="00394CBB"/>
    <w:rsid w:val="003A5462"/>
    <w:rsid w:val="003A5E6B"/>
    <w:rsid w:val="003C1964"/>
    <w:rsid w:val="003C5035"/>
    <w:rsid w:val="003C6207"/>
    <w:rsid w:val="003E0985"/>
    <w:rsid w:val="003F46DC"/>
    <w:rsid w:val="00404E45"/>
    <w:rsid w:val="00410953"/>
    <w:rsid w:val="00415711"/>
    <w:rsid w:val="00421D36"/>
    <w:rsid w:val="0042495B"/>
    <w:rsid w:val="00424FA2"/>
    <w:rsid w:val="00427AC7"/>
    <w:rsid w:val="00432D2E"/>
    <w:rsid w:val="004337D0"/>
    <w:rsid w:val="00435FC2"/>
    <w:rsid w:val="00447619"/>
    <w:rsid w:val="004477B9"/>
    <w:rsid w:val="00450511"/>
    <w:rsid w:val="00453DA5"/>
    <w:rsid w:val="004562BD"/>
    <w:rsid w:val="00457AFA"/>
    <w:rsid w:val="00462D0F"/>
    <w:rsid w:val="00464C95"/>
    <w:rsid w:val="00464E51"/>
    <w:rsid w:val="0047009F"/>
    <w:rsid w:val="00474D4D"/>
    <w:rsid w:val="00475205"/>
    <w:rsid w:val="00483A1F"/>
    <w:rsid w:val="00486BD2"/>
    <w:rsid w:val="00497CDF"/>
    <w:rsid w:val="00497E18"/>
    <w:rsid w:val="004B3B1B"/>
    <w:rsid w:val="004C1236"/>
    <w:rsid w:val="004D308D"/>
    <w:rsid w:val="004D4042"/>
    <w:rsid w:val="004E1130"/>
    <w:rsid w:val="004E2F3D"/>
    <w:rsid w:val="004E5627"/>
    <w:rsid w:val="004F161C"/>
    <w:rsid w:val="004F3BFE"/>
    <w:rsid w:val="004F7519"/>
    <w:rsid w:val="005014BA"/>
    <w:rsid w:val="00506E02"/>
    <w:rsid w:val="00520977"/>
    <w:rsid w:val="00523597"/>
    <w:rsid w:val="00527400"/>
    <w:rsid w:val="00527D7F"/>
    <w:rsid w:val="0054286B"/>
    <w:rsid w:val="00543274"/>
    <w:rsid w:val="00551BAB"/>
    <w:rsid w:val="00552D7C"/>
    <w:rsid w:val="00555826"/>
    <w:rsid w:val="00556377"/>
    <w:rsid w:val="005674C8"/>
    <w:rsid w:val="00573449"/>
    <w:rsid w:val="005752D8"/>
    <w:rsid w:val="00580F95"/>
    <w:rsid w:val="00583B43"/>
    <w:rsid w:val="005875B2"/>
    <w:rsid w:val="00591E66"/>
    <w:rsid w:val="005942DC"/>
    <w:rsid w:val="005944CF"/>
    <w:rsid w:val="005A2F18"/>
    <w:rsid w:val="005A51F6"/>
    <w:rsid w:val="005B3281"/>
    <w:rsid w:val="005B47FD"/>
    <w:rsid w:val="005B4972"/>
    <w:rsid w:val="005B66B1"/>
    <w:rsid w:val="005C123F"/>
    <w:rsid w:val="005D6F3C"/>
    <w:rsid w:val="005E2D73"/>
    <w:rsid w:val="005E559F"/>
    <w:rsid w:val="005E5D0E"/>
    <w:rsid w:val="005F02CB"/>
    <w:rsid w:val="006113FE"/>
    <w:rsid w:val="00613CDE"/>
    <w:rsid w:val="00614FB5"/>
    <w:rsid w:val="00620DEA"/>
    <w:rsid w:val="0062192D"/>
    <w:rsid w:val="00636739"/>
    <w:rsid w:val="00637285"/>
    <w:rsid w:val="00643A09"/>
    <w:rsid w:val="006455BC"/>
    <w:rsid w:val="006461BD"/>
    <w:rsid w:val="0066142D"/>
    <w:rsid w:val="00665D0E"/>
    <w:rsid w:val="0067293E"/>
    <w:rsid w:val="006908B4"/>
    <w:rsid w:val="0069782C"/>
    <w:rsid w:val="006A3C48"/>
    <w:rsid w:val="006A4CFB"/>
    <w:rsid w:val="006B1CFF"/>
    <w:rsid w:val="006B3402"/>
    <w:rsid w:val="006B3FA3"/>
    <w:rsid w:val="006D1187"/>
    <w:rsid w:val="006D6D49"/>
    <w:rsid w:val="006F0F6D"/>
    <w:rsid w:val="006F457B"/>
    <w:rsid w:val="006F5DB1"/>
    <w:rsid w:val="007003E8"/>
    <w:rsid w:val="007067C4"/>
    <w:rsid w:val="00710078"/>
    <w:rsid w:val="00714D7F"/>
    <w:rsid w:val="0071632E"/>
    <w:rsid w:val="00717208"/>
    <w:rsid w:val="007210B0"/>
    <w:rsid w:val="0072775B"/>
    <w:rsid w:val="0073321F"/>
    <w:rsid w:val="007348E9"/>
    <w:rsid w:val="007355E4"/>
    <w:rsid w:val="00743BC1"/>
    <w:rsid w:val="00747B96"/>
    <w:rsid w:val="00752C54"/>
    <w:rsid w:val="00754A4E"/>
    <w:rsid w:val="00763C5B"/>
    <w:rsid w:val="00766CFE"/>
    <w:rsid w:val="0077109B"/>
    <w:rsid w:val="00790BBC"/>
    <w:rsid w:val="00793D91"/>
    <w:rsid w:val="00794EBD"/>
    <w:rsid w:val="007A7E5C"/>
    <w:rsid w:val="007B1321"/>
    <w:rsid w:val="007B21AB"/>
    <w:rsid w:val="007B45B3"/>
    <w:rsid w:val="007C00BC"/>
    <w:rsid w:val="007C0C6B"/>
    <w:rsid w:val="007C329D"/>
    <w:rsid w:val="007D67BE"/>
    <w:rsid w:val="007E081D"/>
    <w:rsid w:val="007E4D1C"/>
    <w:rsid w:val="007F5FC2"/>
    <w:rsid w:val="00802E56"/>
    <w:rsid w:val="00804DF4"/>
    <w:rsid w:val="00810D47"/>
    <w:rsid w:val="00810FDD"/>
    <w:rsid w:val="00822D25"/>
    <w:rsid w:val="00841FE2"/>
    <w:rsid w:val="00843C45"/>
    <w:rsid w:val="00847A3A"/>
    <w:rsid w:val="00850A85"/>
    <w:rsid w:val="00856AAE"/>
    <w:rsid w:val="00865DB0"/>
    <w:rsid w:val="008728AF"/>
    <w:rsid w:val="00874615"/>
    <w:rsid w:val="00880F4D"/>
    <w:rsid w:val="00882782"/>
    <w:rsid w:val="008859A2"/>
    <w:rsid w:val="00887BE6"/>
    <w:rsid w:val="008A22A8"/>
    <w:rsid w:val="008A42D3"/>
    <w:rsid w:val="008A6930"/>
    <w:rsid w:val="008B1CC8"/>
    <w:rsid w:val="008B5CBE"/>
    <w:rsid w:val="008D18AB"/>
    <w:rsid w:val="008E1BC5"/>
    <w:rsid w:val="008F19C3"/>
    <w:rsid w:val="008F4918"/>
    <w:rsid w:val="00900AC8"/>
    <w:rsid w:val="009030AE"/>
    <w:rsid w:val="00903592"/>
    <w:rsid w:val="00903EAA"/>
    <w:rsid w:val="009052E1"/>
    <w:rsid w:val="009207E7"/>
    <w:rsid w:val="009208B5"/>
    <w:rsid w:val="0093207A"/>
    <w:rsid w:val="00937264"/>
    <w:rsid w:val="009423EE"/>
    <w:rsid w:val="00942BFF"/>
    <w:rsid w:val="00945173"/>
    <w:rsid w:val="0094734B"/>
    <w:rsid w:val="00952726"/>
    <w:rsid w:val="00961775"/>
    <w:rsid w:val="00962BB9"/>
    <w:rsid w:val="00965F95"/>
    <w:rsid w:val="00972B70"/>
    <w:rsid w:val="00974934"/>
    <w:rsid w:val="00975CA1"/>
    <w:rsid w:val="00975F12"/>
    <w:rsid w:val="009853A9"/>
    <w:rsid w:val="00987E20"/>
    <w:rsid w:val="0099342C"/>
    <w:rsid w:val="00996B7F"/>
    <w:rsid w:val="009A2399"/>
    <w:rsid w:val="009A3163"/>
    <w:rsid w:val="009A4E3A"/>
    <w:rsid w:val="009B41BB"/>
    <w:rsid w:val="009B6C21"/>
    <w:rsid w:val="009C0027"/>
    <w:rsid w:val="009C2F4A"/>
    <w:rsid w:val="009C4416"/>
    <w:rsid w:val="009C4E8A"/>
    <w:rsid w:val="009C7118"/>
    <w:rsid w:val="009E2E1F"/>
    <w:rsid w:val="009F7052"/>
    <w:rsid w:val="009F7294"/>
    <w:rsid w:val="00A03DC5"/>
    <w:rsid w:val="00A04FCF"/>
    <w:rsid w:val="00A06161"/>
    <w:rsid w:val="00A114C4"/>
    <w:rsid w:val="00A21480"/>
    <w:rsid w:val="00A23820"/>
    <w:rsid w:val="00A26D51"/>
    <w:rsid w:val="00A301BC"/>
    <w:rsid w:val="00A35DE7"/>
    <w:rsid w:val="00A44629"/>
    <w:rsid w:val="00A61D3F"/>
    <w:rsid w:val="00A6370B"/>
    <w:rsid w:val="00A86EC5"/>
    <w:rsid w:val="00AA0231"/>
    <w:rsid w:val="00AB4710"/>
    <w:rsid w:val="00AB7B8D"/>
    <w:rsid w:val="00AC214C"/>
    <w:rsid w:val="00AC389D"/>
    <w:rsid w:val="00AC4A79"/>
    <w:rsid w:val="00AC4D0F"/>
    <w:rsid w:val="00AC65FD"/>
    <w:rsid w:val="00AD5E5B"/>
    <w:rsid w:val="00AD6606"/>
    <w:rsid w:val="00AD71FC"/>
    <w:rsid w:val="00AE18F1"/>
    <w:rsid w:val="00AF17A6"/>
    <w:rsid w:val="00AF28EF"/>
    <w:rsid w:val="00AF419E"/>
    <w:rsid w:val="00B14637"/>
    <w:rsid w:val="00B23C02"/>
    <w:rsid w:val="00B31381"/>
    <w:rsid w:val="00B32B2D"/>
    <w:rsid w:val="00B37CA2"/>
    <w:rsid w:val="00B46E2D"/>
    <w:rsid w:val="00B5146F"/>
    <w:rsid w:val="00B60C10"/>
    <w:rsid w:val="00B61AD7"/>
    <w:rsid w:val="00B66894"/>
    <w:rsid w:val="00B73F23"/>
    <w:rsid w:val="00B74412"/>
    <w:rsid w:val="00B86C22"/>
    <w:rsid w:val="00B870F5"/>
    <w:rsid w:val="00BA0726"/>
    <w:rsid w:val="00BA4B2B"/>
    <w:rsid w:val="00BA653A"/>
    <w:rsid w:val="00BB1401"/>
    <w:rsid w:val="00BD0225"/>
    <w:rsid w:val="00BD0863"/>
    <w:rsid w:val="00BD26AC"/>
    <w:rsid w:val="00BD5898"/>
    <w:rsid w:val="00BD6FE6"/>
    <w:rsid w:val="00BE7EA1"/>
    <w:rsid w:val="00BF1DE7"/>
    <w:rsid w:val="00BF268B"/>
    <w:rsid w:val="00BF2A3F"/>
    <w:rsid w:val="00BF6635"/>
    <w:rsid w:val="00C10B25"/>
    <w:rsid w:val="00C210E1"/>
    <w:rsid w:val="00C27338"/>
    <w:rsid w:val="00C339B9"/>
    <w:rsid w:val="00C342FA"/>
    <w:rsid w:val="00C34801"/>
    <w:rsid w:val="00C375F3"/>
    <w:rsid w:val="00C40A87"/>
    <w:rsid w:val="00C45040"/>
    <w:rsid w:val="00C45CDB"/>
    <w:rsid w:val="00C50DB8"/>
    <w:rsid w:val="00C51027"/>
    <w:rsid w:val="00C5261B"/>
    <w:rsid w:val="00C54E76"/>
    <w:rsid w:val="00C55433"/>
    <w:rsid w:val="00C609C9"/>
    <w:rsid w:val="00C61A53"/>
    <w:rsid w:val="00C657F2"/>
    <w:rsid w:val="00C7338A"/>
    <w:rsid w:val="00C828DB"/>
    <w:rsid w:val="00C82F5A"/>
    <w:rsid w:val="00C87C7D"/>
    <w:rsid w:val="00C94589"/>
    <w:rsid w:val="00CA330F"/>
    <w:rsid w:val="00CA3F9F"/>
    <w:rsid w:val="00CB2A31"/>
    <w:rsid w:val="00CB50A5"/>
    <w:rsid w:val="00CB7D52"/>
    <w:rsid w:val="00CC25A2"/>
    <w:rsid w:val="00CC3F6B"/>
    <w:rsid w:val="00CD0117"/>
    <w:rsid w:val="00CD25A0"/>
    <w:rsid w:val="00CD3482"/>
    <w:rsid w:val="00CE4BE9"/>
    <w:rsid w:val="00D02583"/>
    <w:rsid w:val="00D055EE"/>
    <w:rsid w:val="00D065CF"/>
    <w:rsid w:val="00D12469"/>
    <w:rsid w:val="00D16069"/>
    <w:rsid w:val="00D1775B"/>
    <w:rsid w:val="00D20264"/>
    <w:rsid w:val="00D24594"/>
    <w:rsid w:val="00D25A50"/>
    <w:rsid w:val="00D260DB"/>
    <w:rsid w:val="00D27EBF"/>
    <w:rsid w:val="00D31F57"/>
    <w:rsid w:val="00D46891"/>
    <w:rsid w:val="00D631F8"/>
    <w:rsid w:val="00D656AD"/>
    <w:rsid w:val="00D7073B"/>
    <w:rsid w:val="00D74359"/>
    <w:rsid w:val="00D7619F"/>
    <w:rsid w:val="00D765CF"/>
    <w:rsid w:val="00D76BAB"/>
    <w:rsid w:val="00D76C5D"/>
    <w:rsid w:val="00D87768"/>
    <w:rsid w:val="00D964CC"/>
    <w:rsid w:val="00D96C74"/>
    <w:rsid w:val="00DA2A47"/>
    <w:rsid w:val="00DA6AF4"/>
    <w:rsid w:val="00DA7E41"/>
    <w:rsid w:val="00DB3690"/>
    <w:rsid w:val="00DB4892"/>
    <w:rsid w:val="00DC0D84"/>
    <w:rsid w:val="00DC2538"/>
    <w:rsid w:val="00DC39C0"/>
    <w:rsid w:val="00DC79D4"/>
    <w:rsid w:val="00DD4CC1"/>
    <w:rsid w:val="00DD4EDB"/>
    <w:rsid w:val="00DE19F2"/>
    <w:rsid w:val="00DE524E"/>
    <w:rsid w:val="00DE6D2C"/>
    <w:rsid w:val="00DE7E18"/>
    <w:rsid w:val="00E03C39"/>
    <w:rsid w:val="00E05C37"/>
    <w:rsid w:val="00E1160C"/>
    <w:rsid w:val="00E11E6E"/>
    <w:rsid w:val="00E250FD"/>
    <w:rsid w:val="00E2582B"/>
    <w:rsid w:val="00E264EA"/>
    <w:rsid w:val="00E301F6"/>
    <w:rsid w:val="00E312BE"/>
    <w:rsid w:val="00E31D85"/>
    <w:rsid w:val="00E35915"/>
    <w:rsid w:val="00E420CB"/>
    <w:rsid w:val="00E42661"/>
    <w:rsid w:val="00E472DD"/>
    <w:rsid w:val="00E603C2"/>
    <w:rsid w:val="00E70605"/>
    <w:rsid w:val="00E7197B"/>
    <w:rsid w:val="00E73FCC"/>
    <w:rsid w:val="00E94E53"/>
    <w:rsid w:val="00EA1CE9"/>
    <w:rsid w:val="00EA3970"/>
    <w:rsid w:val="00EA408C"/>
    <w:rsid w:val="00EA5CF5"/>
    <w:rsid w:val="00EB48D2"/>
    <w:rsid w:val="00EB4ECA"/>
    <w:rsid w:val="00EB6D15"/>
    <w:rsid w:val="00EB7DBB"/>
    <w:rsid w:val="00EC3AAF"/>
    <w:rsid w:val="00EC5085"/>
    <w:rsid w:val="00ED2972"/>
    <w:rsid w:val="00ED39A0"/>
    <w:rsid w:val="00EF1F35"/>
    <w:rsid w:val="00F00FE2"/>
    <w:rsid w:val="00F25475"/>
    <w:rsid w:val="00F2679B"/>
    <w:rsid w:val="00F40F7C"/>
    <w:rsid w:val="00F460E1"/>
    <w:rsid w:val="00F53B11"/>
    <w:rsid w:val="00F55C57"/>
    <w:rsid w:val="00F63326"/>
    <w:rsid w:val="00F64128"/>
    <w:rsid w:val="00F717A0"/>
    <w:rsid w:val="00F718F1"/>
    <w:rsid w:val="00F75393"/>
    <w:rsid w:val="00F81175"/>
    <w:rsid w:val="00F824C7"/>
    <w:rsid w:val="00F82B50"/>
    <w:rsid w:val="00F9002F"/>
    <w:rsid w:val="00F9286E"/>
    <w:rsid w:val="00F928E7"/>
    <w:rsid w:val="00F92FFC"/>
    <w:rsid w:val="00F96910"/>
    <w:rsid w:val="00FA2F40"/>
    <w:rsid w:val="00FC2E12"/>
    <w:rsid w:val="00FD0747"/>
    <w:rsid w:val="00FD1981"/>
    <w:rsid w:val="00FD1AA5"/>
    <w:rsid w:val="00FD3113"/>
    <w:rsid w:val="00FE23DE"/>
    <w:rsid w:val="00FE53CE"/>
    <w:rsid w:val="00FE586E"/>
    <w:rsid w:val="00FE69DB"/>
    <w:rsid w:val="00FF0860"/>
    <w:rsid w:val="00FF0F00"/>
    <w:rsid w:val="00FF39BC"/>
    <w:rsid w:val="00FF6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3EC9E"/>
  <w15:docId w15:val="{C0BADDEE-AA56-4394-9D6E-9C7485E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205"/>
    <w:pPr>
      <w:spacing w:before="80" w:after="0" w:line="235" w:lineRule="auto"/>
      <w:ind w:left="567"/>
      <w:jc w:val="both"/>
    </w:pPr>
    <w:rPr>
      <w:rFonts w:cs="Times New Roman"/>
      <w:i/>
      <w:iCs/>
      <w:sz w:val="21"/>
      <w:szCs w:val="21"/>
    </w:rPr>
  </w:style>
  <w:style w:type="paragraph" w:styleId="Titre1">
    <w:name w:val="heading 1"/>
    <w:next w:val="Normal"/>
    <w:link w:val="Titre1Car"/>
    <w:uiPriority w:val="9"/>
    <w:qFormat/>
    <w:rsid w:val="00F40F7C"/>
    <w:pPr>
      <w:keepNext/>
      <w:keepLines/>
      <w:numPr>
        <w:numId w:val="1"/>
      </w:numPr>
      <w:tabs>
        <w:tab w:val="right" w:leader="dot" w:pos="9638"/>
      </w:tabs>
      <w:spacing w:before="180" w:after="120" w:line="240" w:lineRule="auto"/>
      <w:ind w:left="284" w:hanging="284"/>
      <w:outlineLvl w:val="0"/>
    </w:pPr>
    <w:rPr>
      <w:rFonts w:ascii="Gill Sans MT" w:eastAsia="Arial Unicode MS" w:hAnsi="Gill Sans MT" w:cs="Arial"/>
      <w:b/>
      <w:bCs/>
      <w:i/>
      <w:color w:val="C83232" w:themeColor="accent2"/>
      <w:spacing w:val="20"/>
      <w:sz w:val="32"/>
      <w:szCs w:val="32"/>
      <w14:textOutline w14:w="12700" w14:cap="flat" w14:cmpd="sng" w14:algn="ctr">
        <w14:noFill/>
        <w14:prstDash w14:val="solid"/>
        <w14:round/>
      </w14:textOutline>
    </w:rPr>
  </w:style>
  <w:style w:type="paragraph" w:styleId="Titre2">
    <w:name w:val="heading 2"/>
    <w:next w:val="Normal"/>
    <w:link w:val="Titre2Car"/>
    <w:uiPriority w:val="9"/>
    <w:unhideWhenUsed/>
    <w:qFormat/>
    <w:rsid w:val="004337D0"/>
    <w:pPr>
      <w:keepNext/>
      <w:keepLines/>
      <w:numPr>
        <w:ilvl w:val="1"/>
        <w:numId w:val="2"/>
      </w:numPr>
      <w:tabs>
        <w:tab w:val="left" w:pos="284"/>
      </w:tabs>
      <w:spacing w:before="180" w:after="80" w:line="228" w:lineRule="auto"/>
      <w:ind w:left="284" w:hanging="142"/>
      <w:outlineLvl w:val="1"/>
    </w:pPr>
    <w:rPr>
      <w:rFonts w:ascii="Gill Sans MT" w:eastAsia="Calibri" w:hAnsi="Gill Sans MT" w:cs="Arial"/>
      <w:b/>
      <w:bCs/>
      <w:color w:val="3232C8"/>
      <w:spacing w:val="20"/>
      <w:sz w:val="26"/>
      <w:szCs w:val="26"/>
      <w14:textOutline w14:w="12700" w14:cap="flat" w14:cmpd="sng" w14:algn="ctr">
        <w14:noFill/>
        <w14:prstDash w14:val="solid"/>
        <w14:round/>
      </w14:textOutline>
    </w:rPr>
  </w:style>
  <w:style w:type="paragraph" w:styleId="Titre3">
    <w:name w:val="heading 3"/>
    <w:next w:val="Normal"/>
    <w:link w:val="Titre3Car"/>
    <w:uiPriority w:val="9"/>
    <w:unhideWhenUsed/>
    <w:qFormat/>
    <w:rsid w:val="00F40F7C"/>
    <w:pPr>
      <w:keepNext/>
      <w:keepLines/>
      <w:numPr>
        <w:ilvl w:val="2"/>
        <w:numId w:val="2"/>
      </w:numPr>
      <w:spacing w:before="180" w:after="80" w:line="228" w:lineRule="auto"/>
      <w:ind w:left="284" w:right="-284" w:hanging="142"/>
      <w:outlineLvl w:val="2"/>
    </w:pPr>
    <w:rPr>
      <w:rFonts w:ascii="Gill Sans MT" w:eastAsiaTheme="majorEastAsia" w:hAnsi="Gill Sans MT" w:cs="Arial"/>
      <w:b/>
      <w:bCs/>
      <w:i/>
      <w:color w:val="781E78"/>
      <w:spacing w:val="20"/>
      <w:sz w:val="24"/>
      <w:szCs w:val="24"/>
      <w14:textOutline w14:w="12700" w14:cap="flat" w14:cmpd="sng" w14:algn="ctr">
        <w14:noFill/>
        <w14:prstDash w14:val="solid"/>
        <w14:round/>
      </w14:textOutline>
    </w:rPr>
  </w:style>
  <w:style w:type="paragraph" w:styleId="Titre4">
    <w:name w:val="heading 4"/>
    <w:next w:val="Normal"/>
    <w:link w:val="Titre4Car"/>
    <w:uiPriority w:val="9"/>
    <w:unhideWhenUsed/>
    <w:qFormat/>
    <w:rsid w:val="006B3402"/>
    <w:pPr>
      <w:keepNext/>
      <w:keepLines/>
      <w:spacing w:before="120" w:after="0" w:line="240" w:lineRule="exact"/>
      <w:ind w:left="567"/>
      <w:outlineLvl w:val="3"/>
    </w:pPr>
    <w:rPr>
      <w:rFonts w:ascii="Gill Sans MT" w:eastAsiaTheme="majorEastAsia" w:hAnsi="Gill Sans MT" w:cs="Arial"/>
      <w:b/>
      <w:bCs/>
      <w:i/>
      <w:color w:val="333333"/>
      <w:spacing w:val="20"/>
      <w:sz w:val="20"/>
      <w:szCs w:val="20"/>
      <w14:textOutline w14:w="12700" w14:cap="flat" w14:cmpd="sng" w14:algn="ctr">
        <w14:noFill/>
        <w14:prstDash w14:val="solid"/>
        <w14:round/>
      </w14:textOutline>
    </w:rPr>
  </w:style>
  <w:style w:type="paragraph" w:styleId="Titre5">
    <w:name w:val="heading 5"/>
    <w:next w:val="Normal"/>
    <w:link w:val="Titre5Car"/>
    <w:uiPriority w:val="9"/>
    <w:unhideWhenUsed/>
    <w:qFormat/>
    <w:rsid w:val="006B3402"/>
    <w:pPr>
      <w:spacing w:before="80" w:after="0" w:line="240" w:lineRule="exact"/>
      <w:ind w:left="567"/>
      <w:outlineLvl w:val="4"/>
    </w:pPr>
    <w:rPr>
      <w:rFonts w:ascii="Gill Sans MT" w:eastAsiaTheme="majorEastAsia" w:hAnsi="Gill Sans MT" w:cs="Arial"/>
      <w:bCs/>
      <w:i/>
      <w:color w:val="333333"/>
      <w:spacing w:val="20"/>
      <w:sz w:val="20"/>
      <w:szCs w:val="20"/>
      <w14:textOutline w14:w="12700" w14:cap="flat" w14:cmpd="sng" w14:algn="ctr">
        <w14:noFill/>
        <w14:prstDash w14:val="solid"/>
        <w14:round/>
      </w14:textOutline>
    </w:rPr>
  </w:style>
  <w:style w:type="paragraph" w:styleId="Titre6">
    <w:name w:val="heading 6"/>
    <w:basedOn w:val="Normal"/>
    <w:next w:val="Normal"/>
    <w:link w:val="Titre6Car"/>
    <w:uiPriority w:val="9"/>
    <w:unhideWhenUsed/>
    <w:qFormat/>
    <w:rsid w:val="00790BBC"/>
    <w:pPr>
      <w:keepNext/>
      <w:keepLines/>
      <w:spacing w:before="40"/>
      <w:outlineLvl w:val="5"/>
    </w:pPr>
    <w:rPr>
      <w:rFonts w:asciiTheme="majorHAnsi" w:eastAsiaTheme="majorEastAsia" w:hAnsiTheme="majorHAnsi" w:cstheme="majorBidi"/>
      <w:color w:val="1919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ListeRC">
    <w:name w:val="Liste RC"/>
    <w:basedOn w:val="TableauNormal"/>
    <w:uiPriority w:val="99"/>
    <w:rsid w:val="008A6930"/>
    <w:pPr>
      <w:spacing w:after="0" w:line="240" w:lineRule="auto"/>
    </w:p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blStylePr w:type="firstRow">
      <w:pPr>
        <w:jc w:val="center"/>
      </w:pPr>
      <w:rPr>
        <w:b/>
        <w:color w:val="FFFFFF"/>
      </w:rPr>
      <w:tblPr/>
      <w:tcPr>
        <w:shd w:val="clear" w:color="auto" w:fill="EE7F00"/>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ListeRC0">
    <w:name w:val="Liste_RC"/>
    <w:basedOn w:val="TableauNormal"/>
    <w:uiPriority w:val="99"/>
    <w:rsid w:val="008A6930"/>
    <w:pPr>
      <w:spacing w:after="0" w:line="240" w:lineRule="auto"/>
    </w:pPr>
    <w:tblPr/>
  </w:style>
  <w:style w:type="paragraph" w:customStyle="1" w:styleId="Logo">
    <w:name w:val="Logo"/>
    <w:qFormat/>
    <w:rsid w:val="00B86C22"/>
    <w:pPr>
      <w:spacing w:line="192" w:lineRule="auto"/>
      <w:jc w:val="center"/>
    </w:pPr>
    <w:rPr>
      <w:rFonts w:ascii="Gill Sans MT" w:hAnsi="Gill Sans MT" w:cs="Aharoni"/>
      <w:color w:val="F06400"/>
      <w:spacing w:val="100"/>
      <w:sz w:val="80"/>
      <w:szCs w:val="80"/>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style>
  <w:style w:type="paragraph" w:customStyle="1" w:styleId="SousLogo">
    <w:name w:val="Sous Logo"/>
    <w:qFormat/>
    <w:rsid w:val="00B86C22"/>
    <w:pPr>
      <w:jc w:val="center"/>
    </w:pPr>
    <w:rPr>
      <w:rFonts w:ascii="Gill Sans MT" w:hAnsi="Gill Sans MT"/>
      <w:color w:val="28283C"/>
      <w:spacing w:val="-4"/>
      <w:sz w:val="18"/>
      <w:szCs w:val="18"/>
    </w:rPr>
  </w:style>
  <w:style w:type="character" w:customStyle="1" w:styleId="Titre1Car">
    <w:name w:val="Titre 1 Car"/>
    <w:basedOn w:val="Policepardfaut"/>
    <w:link w:val="Titre1"/>
    <w:uiPriority w:val="9"/>
    <w:rsid w:val="00F40F7C"/>
    <w:rPr>
      <w:rFonts w:ascii="Gill Sans MT" w:eastAsia="Arial Unicode MS" w:hAnsi="Gill Sans MT" w:cs="Arial"/>
      <w:b/>
      <w:bCs/>
      <w:i/>
      <w:color w:val="C83232" w:themeColor="accent2"/>
      <w:spacing w:val="20"/>
      <w:sz w:val="32"/>
      <w:szCs w:val="32"/>
      <w14:textOutline w14:w="12700" w14:cap="flat" w14:cmpd="sng" w14:algn="ctr">
        <w14:noFill/>
        <w14:prstDash w14:val="solid"/>
        <w14:round/>
      </w14:textOutline>
    </w:rPr>
  </w:style>
  <w:style w:type="character" w:customStyle="1" w:styleId="Titre2Car">
    <w:name w:val="Titre 2 Car"/>
    <w:basedOn w:val="Policepardfaut"/>
    <w:link w:val="Titre2"/>
    <w:uiPriority w:val="9"/>
    <w:rsid w:val="004337D0"/>
    <w:rPr>
      <w:rFonts w:ascii="Gill Sans MT" w:eastAsia="Calibri" w:hAnsi="Gill Sans MT" w:cs="Arial"/>
      <w:b/>
      <w:bCs/>
      <w:color w:val="3232C8"/>
      <w:spacing w:val="20"/>
      <w:sz w:val="26"/>
      <w:szCs w:val="26"/>
      <w14:textOutline w14:w="12700" w14:cap="flat" w14:cmpd="sng" w14:algn="ctr">
        <w14:noFill/>
        <w14:prstDash w14:val="solid"/>
        <w14:round/>
      </w14:textOutline>
    </w:rPr>
  </w:style>
  <w:style w:type="character" w:customStyle="1" w:styleId="Titre3Car">
    <w:name w:val="Titre 3 Car"/>
    <w:basedOn w:val="Policepardfaut"/>
    <w:link w:val="Titre3"/>
    <w:uiPriority w:val="9"/>
    <w:rsid w:val="00F40F7C"/>
    <w:rPr>
      <w:rFonts w:ascii="Gill Sans MT" w:eastAsiaTheme="majorEastAsia" w:hAnsi="Gill Sans MT" w:cs="Arial"/>
      <w:b/>
      <w:bCs/>
      <w:i/>
      <w:color w:val="781E78"/>
      <w:spacing w:val="20"/>
      <w:sz w:val="24"/>
      <w:szCs w:val="24"/>
      <w14:textOutline w14:w="12700" w14:cap="flat" w14:cmpd="sng" w14:algn="ctr">
        <w14:noFill/>
        <w14:prstDash w14:val="solid"/>
        <w14:round/>
      </w14:textOutline>
    </w:rPr>
  </w:style>
  <w:style w:type="paragraph" w:styleId="Textedebulles">
    <w:name w:val="Balloon Text"/>
    <w:basedOn w:val="Normal"/>
    <w:link w:val="TextedebullesCar"/>
    <w:uiPriority w:val="99"/>
    <w:semiHidden/>
    <w:unhideWhenUsed/>
    <w:rsid w:val="00B86C22"/>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B86C22"/>
    <w:rPr>
      <w:rFonts w:ascii="Tahoma" w:hAnsi="Tahoma" w:cs="Tahoma"/>
      <w:sz w:val="16"/>
      <w:szCs w:val="16"/>
    </w:rPr>
  </w:style>
  <w:style w:type="paragraph" w:styleId="En-tte">
    <w:name w:val="header"/>
    <w:basedOn w:val="Normal"/>
    <w:link w:val="En-tteCar"/>
    <w:uiPriority w:val="99"/>
    <w:unhideWhenUsed/>
    <w:qFormat/>
    <w:rsid w:val="00961775"/>
    <w:pPr>
      <w:tabs>
        <w:tab w:val="center" w:pos="4536"/>
        <w:tab w:val="right" w:pos="9072"/>
      </w:tabs>
      <w:spacing w:before="0"/>
      <w:ind w:left="0"/>
      <w:jc w:val="center"/>
    </w:pPr>
  </w:style>
  <w:style w:type="character" w:customStyle="1" w:styleId="En-tteCar">
    <w:name w:val="En-tête Car"/>
    <w:basedOn w:val="Policepardfaut"/>
    <w:link w:val="En-tte"/>
    <w:uiPriority w:val="99"/>
    <w:rsid w:val="00961775"/>
    <w:rPr>
      <w:rFonts w:ascii="Times New Roman" w:hAnsi="Times New Roman" w:cs="Times New Roman"/>
    </w:rPr>
  </w:style>
  <w:style w:type="paragraph" w:styleId="Pieddepage">
    <w:name w:val="footer"/>
    <w:link w:val="PieddepageCar"/>
    <w:uiPriority w:val="99"/>
    <w:unhideWhenUsed/>
    <w:qFormat/>
    <w:rsid w:val="00F92FFC"/>
    <w:pPr>
      <w:spacing w:after="0" w:line="240" w:lineRule="auto"/>
      <w:jc w:val="center"/>
    </w:pPr>
    <w:rPr>
      <w:rFonts w:ascii="Gill Sans MT" w:hAnsi="Gill Sans MT" w:cs="Times New Roman"/>
      <w:color w:val="C83232"/>
    </w:rPr>
  </w:style>
  <w:style w:type="character" w:customStyle="1" w:styleId="PieddepageCar">
    <w:name w:val="Pied de page Car"/>
    <w:basedOn w:val="Policepardfaut"/>
    <w:link w:val="Pieddepage"/>
    <w:uiPriority w:val="99"/>
    <w:rsid w:val="00F92FFC"/>
    <w:rPr>
      <w:rFonts w:ascii="Gill Sans MT" w:hAnsi="Gill Sans MT" w:cs="Times New Roman"/>
      <w:color w:val="C83232"/>
    </w:rPr>
  </w:style>
  <w:style w:type="paragraph" w:customStyle="1" w:styleId="PP1">
    <w:name w:val="PP1"/>
    <w:qFormat/>
    <w:rsid w:val="00E05C37"/>
    <w:pPr>
      <w:spacing w:line="228" w:lineRule="auto"/>
      <w:jc w:val="center"/>
    </w:pPr>
    <w:rPr>
      <w:rFonts w:ascii="Arial" w:eastAsiaTheme="majorEastAsia" w:hAnsi="Arial" w:cs="Arial"/>
      <w:b/>
      <w:bCs/>
      <w:color w:val="C83232"/>
      <w:sz w:val="48"/>
      <w:szCs w:val="48"/>
    </w:rPr>
  </w:style>
  <w:style w:type="paragraph" w:customStyle="1" w:styleId="PP2">
    <w:name w:val="PP2"/>
    <w:basedOn w:val="PP1"/>
    <w:qFormat/>
    <w:rsid w:val="00961775"/>
    <w:rPr>
      <w:b w:val="0"/>
      <w:color w:val="781E78"/>
      <w:sz w:val="36"/>
      <w:szCs w:val="36"/>
    </w:rPr>
  </w:style>
  <w:style w:type="character" w:customStyle="1" w:styleId="Titre4Car">
    <w:name w:val="Titre 4 Car"/>
    <w:basedOn w:val="Policepardfaut"/>
    <w:link w:val="Titre4"/>
    <w:uiPriority w:val="9"/>
    <w:rsid w:val="006B3402"/>
    <w:rPr>
      <w:rFonts w:ascii="Gill Sans MT" w:eastAsiaTheme="majorEastAsia" w:hAnsi="Gill Sans MT" w:cs="Arial"/>
      <w:b/>
      <w:bCs/>
      <w:i/>
      <w:color w:val="333333"/>
      <w:spacing w:val="20"/>
      <w:sz w:val="20"/>
      <w:szCs w:val="20"/>
      <w14:textOutline w14:w="12700" w14:cap="flat" w14:cmpd="sng" w14:algn="ctr">
        <w14:noFill/>
        <w14:prstDash w14:val="solid"/>
        <w14:round/>
      </w14:textOutline>
    </w:rPr>
  </w:style>
  <w:style w:type="character" w:customStyle="1" w:styleId="Titre5Car">
    <w:name w:val="Titre 5 Car"/>
    <w:basedOn w:val="Policepardfaut"/>
    <w:link w:val="Titre5"/>
    <w:uiPriority w:val="9"/>
    <w:rsid w:val="006B3402"/>
    <w:rPr>
      <w:rFonts w:ascii="Gill Sans MT" w:eastAsiaTheme="majorEastAsia" w:hAnsi="Gill Sans MT" w:cs="Arial"/>
      <w:bCs/>
      <w:i/>
      <w:color w:val="333333"/>
      <w:spacing w:val="20"/>
      <w:sz w:val="20"/>
      <w:szCs w:val="20"/>
      <w14:textOutline w14:w="12700" w14:cap="flat" w14:cmpd="sng" w14:algn="ctr">
        <w14:noFill/>
        <w14:prstDash w14:val="solid"/>
        <w14:round/>
      </w14:textOutline>
    </w:rPr>
  </w:style>
  <w:style w:type="paragraph" w:styleId="Paragraphedeliste">
    <w:name w:val="List Paragraph"/>
    <w:aliases w:val="Liste1"/>
    <w:uiPriority w:val="99"/>
    <w:qFormat/>
    <w:rsid w:val="0072775B"/>
    <w:pPr>
      <w:numPr>
        <w:numId w:val="4"/>
      </w:numPr>
      <w:spacing w:before="80" w:after="0" w:line="240" w:lineRule="auto"/>
    </w:pPr>
    <w:rPr>
      <w:rFonts w:cs="Times New Roman"/>
      <w:sz w:val="21"/>
      <w:szCs w:val="21"/>
      <w:lang w:eastAsia="hi-IN" w:bidi="hi-IN"/>
    </w:rPr>
  </w:style>
  <w:style w:type="numbering" w:customStyle="1" w:styleId="Style1">
    <w:name w:val="Style1"/>
    <w:basedOn w:val="Aucuneliste"/>
    <w:uiPriority w:val="99"/>
    <w:rsid w:val="0072775B"/>
    <w:pPr>
      <w:numPr>
        <w:numId w:val="3"/>
      </w:numPr>
    </w:pPr>
  </w:style>
  <w:style w:type="paragraph" w:customStyle="1" w:styleId="BP2">
    <w:name w:val="BP2"/>
    <w:qFormat/>
    <w:rsid w:val="005B47FD"/>
    <w:pPr>
      <w:jc w:val="center"/>
    </w:pPr>
    <w:rPr>
      <w:rFonts w:cs="Times New Roman"/>
      <w:sz w:val="21"/>
      <w:szCs w:val="21"/>
      <w:lang w:eastAsia="hi-IN" w:bidi="hi-IN"/>
    </w:rPr>
  </w:style>
  <w:style w:type="character" w:styleId="Lienhypertexte">
    <w:name w:val="Hyperlink"/>
    <w:basedOn w:val="Policepardfaut"/>
    <w:uiPriority w:val="99"/>
    <w:unhideWhenUsed/>
    <w:rsid w:val="005D6F3C"/>
    <w:rPr>
      <w:color w:val="3232C8" w:themeColor="hyperlink"/>
      <w:u w:val="single"/>
    </w:rPr>
  </w:style>
  <w:style w:type="paragraph" w:customStyle="1" w:styleId="Liste2">
    <w:name w:val="Liste2"/>
    <w:basedOn w:val="Paragraphedeliste"/>
    <w:qFormat/>
    <w:rsid w:val="00457AFA"/>
    <w:pPr>
      <w:keepLines/>
      <w:numPr>
        <w:ilvl w:val="1"/>
        <w:numId w:val="5"/>
      </w:numPr>
      <w:spacing w:before="60" w:line="264" w:lineRule="auto"/>
      <w:ind w:left="1435" w:hanging="301"/>
    </w:pPr>
    <w:rPr>
      <w:rFonts w:ascii="Tahoma" w:eastAsia="Calibri" w:hAnsi="Tahoma" w:cs="Tahoma"/>
      <w:bCs/>
      <w:sz w:val="24"/>
      <w:szCs w:val="24"/>
      <w:lang w:eastAsia="en-US" w:bidi="ar-SA"/>
    </w:rPr>
  </w:style>
  <w:style w:type="table" w:styleId="Grilledutableau">
    <w:name w:val="Table Grid"/>
    <w:basedOn w:val="TableauNormal"/>
    <w:uiPriority w:val="99"/>
    <w:rsid w:val="00457AFA"/>
    <w:pPr>
      <w:spacing w:after="0" w:line="240" w:lineRule="auto"/>
    </w:pPr>
    <w:rPr>
      <w:rFonts w:ascii="Calibri" w:eastAsia="Calibri" w:hAnsi="Calibri" w:cs="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Aucuneliste"/>
    <w:uiPriority w:val="99"/>
    <w:rsid w:val="00F9286E"/>
    <w:pPr>
      <w:numPr>
        <w:numId w:val="2"/>
      </w:numPr>
    </w:pPr>
  </w:style>
  <w:style w:type="paragraph" w:customStyle="1" w:styleId="Titresommaire">
    <w:name w:val="Titre sommaire"/>
    <w:next w:val="TM1"/>
    <w:qFormat/>
    <w:rsid w:val="005875B2"/>
    <w:pPr>
      <w:jc w:val="right"/>
    </w:pPr>
    <w:rPr>
      <w:rFonts w:ascii="Gill Sans MT" w:eastAsiaTheme="majorEastAsia" w:hAnsi="Gill Sans MT" w:cs="Arial"/>
      <w:b/>
      <w:bCs/>
      <w:i/>
      <w:color w:val="C83232"/>
      <w:spacing w:val="20"/>
      <w:sz w:val="32"/>
      <w:szCs w:val="32"/>
      <w14:textOutline w14:w="12700" w14:cap="flat" w14:cmpd="sng" w14:algn="ctr">
        <w14:noFill/>
        <w14:prstDash w14:val="solid"/>
        <w14:round/>
      </w14:textOutline>
    </w:rPr>
  </w:style>
  <w:style w:type="paragraph" w:styleId="TM2">
    <w:name w:val="toc 2"/>
    <w:basedOn w:val="Normal"/>
    <w:next w:val="Normal"/>
    <w:autoRedefine/>
    <w:uiPriority w:val="39"/>
    <w:unhideWhenUsed/>
    <w:rsid w:val="00802E56"/>
    <w:pPr>
      <w:tabs>
        <w:tab w:val="left" w:pos="1134"/>
        <w:tab w:val="right" w:leader="dot" w:pos="9628"/>
      </w:tabs>
      <w:spacing w:before="100"/>
      <w:ind w:left="1135" w:hanging="284"/>
    </w:pPr>
    <w:rPr>
      <w:rFonts w:cs="Mangal"/>
      <w:b/>
      <w:noProof/>
      <w:color w:val="3232C8"/>
      <w:sz w:val="20"/>
      <w:szCs w:val="20"/>
      <w:u w:color="FF6600"/>
    </w:rPr>
  </w:style>
  <w:style w:type="paragraph" w:styleId="TM1">
    <w:name w:val="toc 1"/>
    <w:basedOn w:val="Normal"/>
    <w:next w:val="Normal"/>
    <w:autoRedefine/>
    <w:uiPriority w:val="39"/>
    <w:unhideWhenUsed/>
    <w:rsid w:val="00802E56"/>
    <w:pPr>
      <w:tabs>
        <w:tab w:val="left" w:pos="851"/>
        <w:tab w:val="right" w:leader="dot" w:pos="9628"/>
      </w:tabs>
      <w:spacing w:before="220"/>
      <w:ind w:left="851" w:hanging="284"/>
    </w:pPr>
    <w:rPr>
      <w:rFonts w:eastAsia="Arial Unicode MS" w:cstheme="minorBidi"/>
      <w:b/>
      <w:noProof/>
      <w:color w:val="C83232"/>
      <w:sz w:val="24"/>
      <w:szCs w:val="24"/>
      <w:lang w:eastAsia="fr-FR"/>
    </w:rPr>
  </w:style>
  <w:style w:type="paragraph" w:styleId="TM3">
    <w:name w:val="toc 3"/>
    <w:basedOn w:val="Normal"/>
    <w:next w:val="Normal"/>
    <w:autoRedefine/>
    <w:uiPriority w:val="39"/>
    <w:unhideWhenUsed/>
    <w:rsid w:val="00802E56"/>
    <w:pPr>
      <w:tabs>
        <w:tab w:val="left" w:pos="1418"/>
        <w:tab w:val="right" w:leader="dot" w:pos="9628"/>
      </w:tabs>
      <w:spacing w:before="50"/>
      <w:ind w:left="1418" w:hanging="284"/>
    </w:pPr>
    <w:rPr>
      <w:rFonts w:cs="Mangal"/>
      <w:noProof/>
      <w:color w:val="781E78"/>
      <w:sz w:val="18"/>
      <w:szCs w:val="18"/>
    </w:rPr>
  </w:style>
  <w:style w:type="paragraph" w:styleId="TM4">
    <w:name w:val="toc 4"/>
    <w:basedOn w:val="Normal"/>
    <w:next w:val="Normal"/>
    <w:autoRedefine/>
    <w:uiPriority w:val="39"/>
    <w:unhideWhenUsed/>
    <w:rsid w:val="00802E56"/>
    <w:pPr>
      <w:numPr>
        <w:ilvl w:val="2"/>
        <w:numId w:val="6"/>
      </w:numPr>
      <w:tabs>
        <w:tab w:val="left" w:pos="1560"/>
        <w:tab w:val="right" w:leader="dot" w:pos="9628"/>
      </w:tabs>
      <w:spacing w:before="0"/>
      <w:ind w:left="1560" w:hanging="142"/>
    </w:pPr>
    <w:rPr>
      <w:rFonts w:cs="Mangal"/>
      <w:noProof/>
      <w:color w:val="333333"/>
      <w:sz w:val="18"/>
      <w:szCs w:val="18"/>
    </w:rPr>
  </w:style>
  <w:style w:type="character" w:styleId="Lienhypertextesuivivisit">
    <w:name w:val="FollowedHyperlink"/>
    <w:basedOn w:val="Policepardfaut"/>
    <w:uiPriority w:val="99"/>
    <w:semiHidden/>
    <w:unhideWhenUsed/>
    <w:rsid w:val="00333AAB"/>
    <w:rPr>
      <w:color w:val="781E78" w:themeColor="followedHyperlink"/>
      <w:u w:val="single"/>
    </w:rPr>
  </w:style>
  <w:style w:type="character" w:styleId="Mentionnonrsolue">
    <w:name w:val="Unresolved Mention"/>
    <w:basedOn w:val="Policepardfaut"/>
    <w:uiPriority w:val="99"/>
    <w:semiHidden/>
    <w:unhideWhenUsed/>
    <w:rsid w:val="00331299"/>
    <w:rPr>
      <w:color w:val="605E5C"/>
      <w:shd w:val="clear" w:color="auto" w:fill="E1DFDD"/>
    </w:rPr>
  </w:style>
  <w:style w:type="paragraph" w:customStyle="1" w:styleId="SansStyle">
    <w:name w:val="SansStyle"/>
    <w:basedOn w:val="Normal"/>
    <w:qFormat/>
    <w:rsid w:val="007E4D1C"/>
    <w:pPr>
      <w:spacing w:before="0" w:line="228" w:lineRule="auto"/>
      <w:ind w:left="0"/>
      <w:jc w:val="center"/>
    </w:pPr>
    <w:rPr>
      <w:rFonts w:ascii="Arial" w:eastAsia="Times New Roman" w:hAnsi="Arial" w:cs="Arial"/>
      <w:b/>
      <w:bCs/>
      <w:i w:val="0"/>
      <w:iCs w:val="0"/>
      <w:color w:val="FFFFFF"/>
      <w:sz w:val="32"/>
      <w:szCs w:val="32"/>
    </w:rPr>
  </w:style>
  <w:style w:type="paragraph" w:styleId="Notedebasdepage">
    <w:name w:val="footnote text"/>
    <w:basedOn w:val="Normal"/>
    <w:link w:val="NotedebasdepageCar"/>
    <w:uiPriority w:val="99"/>
    <w:unhideWhenUsed/>
    <w:rsid w:val="00E03C39"/>
    <w:pPr>
      <w:spacing w:before="60" w:line="228" w:lineRule="auto"/>
      <w:ind w:left="0"/>
    </w:pPr>
    <w:rPr>
      <w:sz w:val="20"/>
      <w:szCs w:val="20"/>
    </w:rPr>
  </w:style>
  <w:style w:type="character" w:customStyle="1" w:styleId="NotedebasdepageCar">
    <w:name w:val="Note de bas de page Car"/>
    <w:basedOn w:val="Policepardfaut"/>
    <w:link w:val="Notedebasdepage"/>
    <w:uiPriority w:val="99"/>
    <w:rsid w:val="00E03C39"/>
    <w:rPr>
      <w:rFonts w:cs="Times New Roman"/>
      <w:i/>
      <w:iCs/>
      <w:sz w:val="20"/>
      <w:szCs w:val="20"/>
    </w:rPr>
  </w:style>
  <w:style w:type="character" w:styleId="Appelnotedebasdep">
    <w:name w:val="footnote reference"/>
    <w:basedOn w:val="Policepardfaut"/>
    <w:uiPriority w:val="99"/>
    <w:unhideWhenUsed/>
    <w:rsid w:val="00F40F7C"/>
    <w:rPr>
      <w:rFonts w:ascii="Calibri" w:eastAsia="Calibri" w:hAnsi="Calibri"/>
      <w:b/>
      <w:bCs/>
      <w:color w:val="C83232" w:themeColor="accent2"/>
      <w:sz w:val="22"/>
      <w:szCs w:val="22"/>
      <w:vertAlign w:val="superscript"/>
    </w:rPr>
  </w:style>
  <w:style w:type="numbering" w:customStyle="1" w:styleId="Style111">
    <w:name w:val="Style111"/>
    <w:basedOn w:val="Aucuneliste"/>
    <w:uiPriority w:val="99"/>
    <w:rsid w:val="001E0040"/>
  </w:style>
  <w:style w:type="numbering" w:customStyle="1" w:styleId="Style112">
    <w:name w:val="Style112"/>
    <w:basedOn w:val="Aucuneliste"/>
    <w:uiPriority w:val="99"/>
    <w:rsid w:val="00F96910"/>
  </w:style>
  <w:style w:type="numbering" w:customStyle="1" w:styleId="Style113">
    <w:name w:val="Style113"/>
    <w:basedOn w:val="Aucuneliste"/>
    <w:uiPriority w:val="99"/>
    <w:rsid w:val="007C0C6B"/>
  </w:style>
  <w:style w:type="character" w:customStyle="1" w:styleId="Titre6Car">
    <w:name w:val="Titre 6 Car"/>
    <w:basedOn w:val="Policepardfaut"/>
    <w:link w:val="Titre6"/>
    <w:uiPriority w:val="9"/>
    <w:rsid w:val="00790BBC"/>
    <w:rPr>
      <w:rFonts w:asciiTheme="majorHAnsi" w:eastAsiaTheme="majorEastAsia" w:hAnsiTheme="majorHAnsi" w:cstheme="majorBidi"/>
      <w:i/>
      <w:iCs/>
      <w:color w:val="191963" w:themeColor="accent1" w:themeShade="7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46849">
      <w:bodyDiv w:val="1"/>
      <w:marLeft w:val="0"/>
      <w:marRight w:val="0"/>
      <w:marTop w:val="0"/>
      <w:marBottom w:val="0"/>
      <w:divBdr>
        <w:top w:val="none" w:sz="0" w:space="0" w:color="auto"/>
        <w:left w:val="none" w:sz="0" w:space="0" w:color="auto"/>
        <w:bottom w:val="none" w:sz="0" w:space="0" w:color="auto"/>
        <w:right w:val="none" w:sz="0" w:space="0" w:color="auto"/>
      </w:divBdr>
    </w:div>
    <w:div w:id="700399504">
      <w:bodyDiv w:val="1"/>
      <w:marLeft w:val="0"/>
      <w:marRight w:val="0"/>
      <w:marTop w:val="0"/>
      <w:marBottom w:val="0"/>
      <w:divBdr>
        <w:top w:val="none" w:sz="0" w:space="0" w:color="auto"/>
        <w:left w:val="none" w:sz="0" w:space="0" w:color="auto"/>
        <w:bottom w:val="none" w:sz="0" w:space="0" w:color="auto"/>
        <w:right w:val="none" w:sz="0" w:space="0" w:color="auto"/>
      </w:divBdr>
    </w:div>
    <w:div w:id="785538227">
      <w:bodyDiv w:val="1"/>
      <w:marLeft w:val="0"/>
      <w:marRight w:val="0"/>
      <w:marTop w:val="0"/>
      <w:marBottom w:val="0"/>
      <w:divBdr>
        <w:top w:val="none" w:sz="0" w:space="0" w:color="auto"/>
        <w:left w:val="none" w:sz="0" w:space="0" w:color="auto"/>
        <w:bottom w:val="none" w:sz="0" w:space="0" w:color="auto"/>
        <w:right w:val="none" w:sz="0" w:space="0" w:color="auto"/>
      </w:divBdr>
    </w:div>
    <w:div w:id="1650093848">
      <w:bodyDiv w:val="1"/>
      <w:marLeft w:val="0"/>
      <w:marRight w:val="0"/>
      <w:marTop w:val="0"/>
      <w:marBottom w:val="0"/>
      <w:divBdr>
        <w:top w:val="none" w:sz="0" w:space="0" w:color="auto"/>
        <w:left w:val="none" w:sz="0" w:space="0" w:color="auto"/>
        <w:bottom w:val="none" w:sz="0" w:space="0" w:color="auto"/>
        <w:right w:val="none" w:sz="0" w:space="0" w:color="auto"/>
      </w:divBdr>
    </w:div>
    <w:div w:id="2025092505">
      <w:bodyDiv w:val="1"/>
      <w:marLeft w:val="0"/>
      <w:marRight w:val="0"/>
      <w:marTop w:val="0"/>
      <w:marBottom w:val="0"/>
      <w:divBdr>
        <w:top w:val="none" w:sz="0" w:space="0" w:color="auto"/>
        <w:left w:val="none" w:sz="0" w:space="0" w:color="auto"/>
        <w:bottom w:val="none" w:sz="0" w:space="0" w:color="auto"/>
        <w:right w:val="none" w:sz="0" w:space="0" w:color="auto"/>
      </w:divBdr>
      <w:divsChild>
        <w:div w:id="75159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france.gouv.fr/loda/article_lc/LEGIARTI000043977449/" TargetMode="External"/><Relationship Id="rId4" Type="http://schemas.openxmlformats.org/officeDocument/2006/relationships/settings" Target="settings.xml"/><Relationship Id="rId9" Type="http://schemas.openxmlformats.org/officeDocument/2006/relationships/hyperlink" Target="https://www.legifrance.gouv.fr/loda/article_lc/LEGIARTI00003936959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decosa.cgt.f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loda/id/JORFTEXT000000495766" TargetMode="External"/><Relationship Id="rId3" Type="http://schemas.openxmlformats.org/officeDocument/2006/relationships/hyperlink" Target="https://www.legifrance.gouv.fr/codes/article_lc/LEGIARTI000045211561" TargetMode="External"/><Relationship Id="rId7" Type="http://schemas.openxmlformats.org/officeDocument/2006/relationships/hyperlink" Target="https://www.legifrance.gouv.fr/loda/id/JORFTEXT000000509310/2025-01-21/" TargetMode="External"/><Relationship Id="rId2" Type="http://schemas.openxmlformats.org/officeDocument/2006/relationships/hyperlink" Target="https://www.legifrance.gouv.fr/loda/article_lc/LEGIARTI000033972918" TargetMode="External"/><Relationship Id="rId1" Type="http://schemas.openxmlformats.org/officeDocument/2006/relationships/hyperlink" Target="https://www.legifrance.gouv.fr/loda/id/LEGISCTA000028779179" TargetMode="External"/><Relationship Id="rId6" Type="http://schemas.openxmlformats.org/officeDocument/2006/relationships/hyperlink" Target="https://www.legifrance.gouv.fr/jorf/id/JORFTEXT000020438861" TargetMode="External"/><Relationship Id="rId5" Type="http://schemas.openxmlformats.org/officeDocument/2006/relationships/hyperlink" Target="https://www.legifrance.gouv.fr/loda/article_lc/LEGIARTI000020448355" TargetMode="External"/><Relationship Id="rId4" Type="http://schemas.openxmlformats.org/officeDocument/2006/relationships/hyperlink" Target="https://www.legifrance.gouv.fr/loda/id/LEGISCTA000028779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Note.dotm" TargetMode="External"/></Relationships>
</file>

<file path=word/theme/theme1.xml><?xml version="1.0" encoding="utf-8"?>
<a:theme xmlns:a="http://schemas.openxmlformats.org/drawingml/2006/main" name="Thème Office">
  <a:themeElements>
    <a:clrScheme name="Cefals">
      <a:dk1>
        <a:sysClr val="windowText" lastClr="000000"/>
      </a:dk1>
      <a:lt1>
        <a:sysClr val="window" lastClr="FFFFFF"/>
      </a:lt1>
      <a:dk2>
        <a:srgbClr val="1F497D"/>
      </a:dk2>
      <a:lt2>
        <a:srgbClr val="EEECE1"/>
      </a:lt2>
      <a:accent1>
        <a:srgbClr val="3232C8"/>
      </a:accent1>
      <a:accent2>
        <a:srgbClr val="C83232"/>
      </a:accent2>
      <a:accent3>
        <a:srgbClr val="781E78"/>
      </a:accent3>
      <a:accent4>
        <a:srgbClr val="FFFF99"/>
      </a:accent4>
      <a:accent5>
        <a:srgbClr val="1E1E78"/>
      </a:accent5>
      <a:accent6>
        <a:srgbClr val="66FF33"/>
      </a:accent6>
      <a:hlink>
        <a:srgbClr val="3232C8"/>
      </a:hlink>
      <a:folHlink>
        <a:srgbClr val="781E7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3398-1B0B-4DA9-B547-B6372A31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Template>
  <TotalTime>1</TotalTime>
  <Pages>3</Pages>
  <Words>1614</Words>
  <Characters>8877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ARNAULT</dc:creator>
  <cp:keywords/>
  <dc:description/>
  <cp:lastModifiedBy>gérard casolari</cp:lastModifiedBy>
  <cp:revision>2</cp:revision>
  <cp:lastPrinted>2025-01-21T12:26:00Z</cp:lastPrinted>
  <dcterms:created xsi:type="dcterms:W3CDTF">2025-01-21T17:03:00Z</dcterms:created>
  <dcterms:modified xsi:type="dcterms:W3CDTF">2025-01-21T17:03:00Z</dcterms:modified>
</cp:coreProperties>
</file>